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仿宋" w:hAnsi="仿宋" w:eastAsia="仿宋" w:cs="华文中宋"/>
          <w:bCs/>
          <w:sz w:val="52"/>
          <w:szCs w:val="52"/>
        </w:rPr>
      </w:pPr>
      <w:bookmarkStart w:id="0" w:name="_Toc458262589"/>
    </w:p>
    <w:p>
      <w:pPr>
        <w:spacing w:line="360" w:lineRule="auto"/>
        <w:jc w:val="center"/>
        <w:rPr>
          <w:rFonts w:ascii="仿宋" w:hAnsi="仿宋" w:eastAsia="仿宋" w:cs="华文中宋"/>
          <w:bCs/>
          <w:sz w:val="52"/>
          <w:szCs w:val="52"/>
        </w:rPr>
      </w:pPr>
      <w:r>
        <w:rPr>
          <w:rFonts w:hint="eastAsia" w:ascii="仿宋" w:hAnsi="仿宋" w:eastAsia="仿宋" w:cs="华文中宋"/>
          <w:bCs/>
          <w:sz w:val="52"/>
          <w:szCs w:val="52"/>
        </w:rPr>
        <w:t>东莞市中堂镇政府采购</w:t>
      </w:r>
    </w:p>
    <w:p>
      <w:pPr>
        <w:spacing w:line="360" w:lineRule="auto"/>
        <w:jc w:val="center"/>
        <w:rPr>
          <w:rFonts w:ascii="仿宋" w:hAnsi="仿宋" w:eastAsia="仿宋" w:cs="华文中宋"/>
          <w:bCs/>
          <w:sz w:val="52"/>
          <w:szCs w:val="52"/>
        </w:rPr>
      </w:pPr>
      <w:r>
        <w:rPr>
          <w:rFonts w:hint="eastAsia" w:ascii="仿宋" w:hAnsi="仿宋" w:eastAsia="仿宋" w:cs="华文中宋"/>
          <w:bCs/>
          <w:sz w:val="52"/>
          <w:szCs w:val="52"/>
        </w:rPr>
        <w:t>货物</w:t>
      </w:r>
      <w:r>
        <w:rPr>
          <w:rFonts w:ascii="仿宋" w:hAnsi="仿宋" w:eastAsia="仿宋" w:cs="华文中宋"/>
          <w:bCs/>
          <w:sz w:val="52"/>
          <w:szCs w:val="52"/>
        </w:rPr>
        <w:t>类</w:t>
      </w:r>
    </w:p>
    <w:p>
      <w:pPr>
        <w:spacing w:line="360" w:lineRule="auto"/>
        <w:rPr>
          <w:rFonts w:ascii="宋体" w:hAnsi="宋体" w:eastAsia="宋体"/>
          <w:b/>
          <w:bCs/>
          <w:spacing w:val="100"/>
          <w:sz w:val="90"/>
          <w:szCs w:val="90"/>
        </w:rPr>
      </w:pPr>
    </w:p>
    <w:p>
      <w:pPr>
        <w:spacing w:line="360" w:lineRule="auto"/>
        <w:rPr>
          <w:rFonts w:ascii="宋体" w:hAnsi="宋体" w:eastAsia="宋体"/>
          <w:b/>
          <w:bCs/>
          <w:spacing w:val="100"/>
          <w:sz w:val="90"/>
          <w:szCs w:val="90"/>
        </w:rPr>
      </w:pPr>
    </w:p>
    <w:p>
      <w:pPr>
        <w:spacing w:line="360" w:lineRule="auto"/>
        <w:jc w:val="center"/>
        <w:rPr>
          <w:rFonts w:ascii="仿宋" w:hAnsi="仿宋" w:eastAsia="仿宋" w:cs="华文中宋"/>
          <w:b/>
          <w:bCs/>
          <w:sz w:val="84"/>
          <w:szCs w:val="84"/>
        </w:rPr>
      </w:pPr>
      <w:r>
        <w:rPr>
          <w:rFonts w:hint="eastAsia" w:ascii="仿宋" w:hAnsi="仿宋" w:eastAsia="仿宋" w:cs="华文中宋"/>
          <w:b/>
          <w:bCs/>
          <w:sz w:val="84"/>
          <w:szCs w:val="84"/>
        </w:rPr>
        <w:t>公开招标文件</w:t>
      </w:r>
    </w:p>
    <w:p>
      <w:pPr>
        <w:spacing w:line="360" w:lineRule="auto"/>
        <w:jc w:val="center"/>
        <w:rPr>
          <w:rFonts w:ascii="宋体" w:hAnsi="宋体"/>
          <w:b/>
          <w:sz w:val="28"/>
          <w:szCs w:val="18"/>
        </w:rPr>
      </w:pPr>
    </w:p>
    <w:p>
      <w:pPr>
        <w:spacing w:line="360" w:lineRule="auto"/>
        <w:jc w:val="center"/>
        <w:rPr>
          <w:rFonts w:ascii="宋体" w:hAnsi="宋体"/>
          <w:b/>
          <w:sz w:val="28"/>
          <w:szCs w:val="18"/>
        </w:rPr>
      </w:pPr>
    </w:p>
    <w:p>
      <w:pPr>
        <w:spacing w:line="360" w:lineRule="auto"/>
        <w:jc w:val="center"/>
        <w:rPr>
          <w:rFonts w:ascii="宋体" w:hAnsi="宋体"/>
          <w:b/>
          <w:sz w:val="28"/>
          <w:szCs w:val="18"/>
        </w:rPr>
      </w:pPr>
    </w:p>
    <w:p>
      <w:pPr>
        <w:spacing w:line="360" w:lineRule="auto"/>
        <w:ind w:left="1311" w:leftChars="257" w:hanging="540"/>
        <w:jc w:val="center"/>
        <w:rPr>
          <w:rFonts w:ascii="仿宋" w:hAnsi="仿宋" w:eastAsia="仿宋"/>
          <w:szCs w:val="30"/>
        </w:rPr>
      </w:pPr>
    </w:p>
    <w:p>
      <w:pPr>
        <w:spacing w:line="360" w:lineRule="auto"/>
        <w:ind w:left="1311" w:leftChars="257" w:hanging="540"/>
        <w:jc w:val="center"/>
        <w:rPr>
          <w:rFonts w:ascii="仿宋" w:hAnsi="仿宋" w:eastAsia="仿宋"/>
          <w:szCs w:val="30"/>
        </w:rPr>
      </w:pPr>
      <w:r>
        <w:rPr>
          <w:rFonts w:hint="eastAsia" w:ascii="仿宋" w:hAnsi="仿宋" w:eastAsia="仿宋"/>
          <w:szCs w:val="30"/>
        </w:rPr>
        <w:t>项目名称：东莞市中堂镇社区卫生服务中心公共卫生服务</w:t>
      </w:r>
    </w:p>
    <w:p>
      <w:pPr>
        <w:spacing w:line="360" w:lineRule="auto"/>
        <w:ind w:left="1311" w:leftChars="257" w:hanging="540"/>
        <w:jc w:val="center"/>
        <w:rPr>
          <w:rFonts w:ascii="宋体" w:hAnsi="宋体" w:eastAsia="宋体"/>
          <w:b/>
          <w:sz w:val="28"/>
          <w:szCs w:val="18"/>
        </w:rPr>
      </w:pPr>
      <w:r>
        <w:rPr>
          <w:rFonts w:hint="eastAsia" w:ascii="仿宋" w:hAnsi="仿宋" w:eastAsia="仿宋"/>
          <w:szCs w:val="30"/>
        </w:rPr>
        <w:t>设备购置</w:t>
      </w:r>
    </w:p>
    <w:p>
      <w:pPr>
        <w:spacing w:line="360" w:lineRule="auto"/>
        <w:ind w:left="1311" w:leftChars="257" w:hanging="540"/>
        <w:jc w:val="center"/>
        <w:rPr>
          <w:rFonts w:ascii="宋体" w:hAnsi="宋体" w:eastAsia="宋体"/>
          <w:b/>
          <w:sz w:val="28"/>
          <w:szCs w:val="18"/>
        </w:rPr>
      </w:pPr>
    </w:p>
    <w:p>
      <w:pPr>
        <w:spacing w:line="360" w:lineRule="auto"/>
        <w:ind w:left="1311" w:leftChars="257" w:hanging="540"/>
        <w:jc w:val="center"/>
        <w:rPr>
          <w:rFonts w:ascii="宋体" w:hAnsi="宋体" w:eastAsia="宋体"/>
          <w:b/>
          <w:sz w:val="28"/>
          <w:szCs w:val="18"/>
        </w:rPr>
      </w:pPr>
    </w:p>
    <w:p>
      <w:pPr>
        <w:spacing w:line="360" w:lineRule="auto"/>
        <w:ind w:left="1311" w:leftChars="257" w:hanging="540"/>
        <w:jc w:val="center"/>
        <w:rPr>
          <w:rFonts w:ascii="仿宋" w:hAnsi="仿宋" w:eastAsia="仿宋"/>
          <w:szCs w:val="30"/>
        </w:rPr>
      </w:pPr>
      <w:r>
        <w:rPr>
          <w:rFonts w:hint="eastAsia" w:ascii="仿宋" w:hAnsi="仿宋" w:eastAsia="仿宋"/>
          <w:szCs w:val="30"/>
        </w:rPr>
        <w:t>东莞市中堂镇招投标服务所</w:t>
      </w:r>
    </w:p>
    <w:p>
      <w:pPr>
        <w:spacing w:line="360" w:lineRule="auto"/>
        <w:ind w:left="1311" w:leftChars="257" w:hanging="540"/>
        <w:jc w:val="center"/>
        <w:rPr>
          <w:rFonts w:ascii="仿宋" w:hAnsi="仿宋" w:eastAsia="仿宋"/>
          <w:szCs w:val="30"/>
        </w:rPr>
      </w:pPr>
      <w:r>
        <w:rPr>
          <w:rFonts w:hint="eastAsia" w:ascii="仿宋" w:hAnsi="仿宋" w:eastAsia="仿宋" w:cs="黑体"/>
          <w:bCs/>
          <w:szCs w:val="30"/>
        </w:rPr>
        <w:t>日</w:t>
      </w:r>
      <w:r>
        <w:rPr>
          <w:rFonts w:ascii="仿宋" w:hAnsi="仿宋" w:eastAsia="仿宋" w:cs="黑体"/>
          <w:bCs/>
          <w:szCs w:val="30"/>
        </w:rPr>
        <w:t xml:space="preserve"> </w:t>
      </w:r>
      <w:r>
        <w:rPr>
          <w:rFonts w:hint="eastAsia" w:ascii="仿宋" w:hAnsi="仿宋" w:eastAsia="仿宋" w:cs="黑体"/>
          <w:bCs/>
          <w:szCs w:val="30"/>
        </w:rPr>
        <w:t>期：</w:t>
      </w:r>
      <w:r>
        <w:rPr>
          <w:rFonts w:hint="eastAsia" w:ascii="仿宋" w:hAnsi="仿宋" w:eastAsia="仿宋" w:cs="黑体"/>
          <w:bCs/>
          <w:szCs w:val="30"/>
          <w:u w:val="single"/>
        </w:rPr>
        <w:t>2021年6月</w:t>
      </w:r>
    </w:p>
    <w:p/>
    <w:p>
      <w:pPr>
        <w:pStyle w:val="28"/>
        <w:jc w:val="center"/>
        <w:rPr>
          <w:rFonts w:ascii="宋体" w:hAnsi="宋体" w:eastAsia="宋体" w:cs="宋体"/>
          <w:sz w:val="32"/>
          <w:szCs w:val="32"/>
        </w:rPr>
      </w:pPr>
      <w:r>
        <w:rPr>
          <w:rFonts w:hint="eastAsia" w:ascii="宋体" w:hAnsi="宋体" w:eastAsia="宋体" w:cs="宋体"/>
          <w:sz w:val="32"/>
          <w:szCs w:val="32"/>
        </w:rPr>
        <w:t>目    录</w:t>
      </w:r>
    </w:p>
    <w:p>
      <w:pPr>
        <w:pStyle w:val="28"/>
        <w:tabs>
          <w:tab w:val="right" w:leader="dot" w:pos="8602"/>
        </w:tabs>
        <w:rPr>
          <w:rFonts w:asciiTheme="minorHAnsi" w:hAnsiTheme="minorHAnsi" w:eastAsiaTheme="minorEastAsia" w:cstheme="minorBidi"/>
          <w:b w:val="0"/>
          <w:bCs w:val="0"/>
          <w:caps w:val="0"/>
          <w:sz w:val="21"/>
          <w:szCs w:val="22"/>
        </w:rPr>
      </w:pPr>
      <w:r>
        <w:rPr>
          <w:rFonts w:hint="eastAsia" w:ascii="宋体" w:hAnsi="宋体" w:eastAsia="宋体" w:cs="宋体"/>
          <w:b w:val="0"/>
          <w:sz w:val="22"/>
          <w:szCs w:val="22"/>
        </w:rPr>
        <w:fldChar w:fldCharType="begin"/>
      </w:r>
      <w:r>
        <w:rPr>
          <w:rFonts w:hint="eastAsia" w:ascii="宋体" w:hAnsi="宋体" w:eastAsia="宋体" w:cs="宋体"/>
          <w:b w:val="0"/>
          <w:sz w:val="22"/>
          <w:szCs w:val="22"/>
        </w:rPr>
        <w:instrText xml:space="preserve"> TOC \o "1-3" \h \z \u </w:instrText>
      </w:r>
      <w:r>
        <w:rPr>
          <w:rFonts w:hint="eastAsia" w:ascii="宋体" w:hAnsi="宋体" w:eastAsia="宋体" w:cs="宋体"/>
          <w:b w:val="0"/>
          <w:sz w:val="22"/>
          <w:szCs w:val="22"/>
        </w:rPr>
        <w:fldChar w:fldCharType="separate"/>
      </w:r>
      <w:r>
        <w:fldChar w:fldCharType="begin"/>
      </w:r>
      <w:r>
        <w:instrText xml:space="preserve"> HYPERLINK \l "_Toc67490472" </w:instrText>
      </w:r>
      <w:r>
        <w:fldChar w:fldCharType="separate"/>
      </w:r>
      <w:r>
        <w:rPr>
          <w:rStyle w:val="48"/>
          <w:rFonts w:hint="eastAsia" w:hAnsi="宋体"/>
          <w:color w:val="auto"/>
        </w:rPr>
        <w:t>第一章</w:t>
      </w:r>
      <w:r>
        <w:rPr>
          <w:rStyle w:val="48"/>
          <w:rFonts w:hAnsi="宋体"/>
          <w:color w:val="auto"/>
        </w:rPr>
        <w:t xml:space="preserve"> </w:t>
      </w:r>
      <w:r>
        <w:rPr>
          <w:rStyle w:val="48"/>
          <w:rFonts w:hint="eastAsia" w:hAnsi="宋体"/>
          <w:color w:val="auto"/>
        </w:rPr>
        <w:t>投标邀请</w:t>
      </w:r>
      <w:r>
        <w:tab/>
      </w:r>
      <w:r>
        <w:fldChar w:fldCharType="begin"/>
      </w:r>
      <w:r>
        <w:instrText xml:space="preserve"> PAGEREF _Toc67490472 \h </w:instrText>
      </w:r>
      <w:r>
        <w:fldChar w:fldCharType="separate"/>
      </w:r>
      <w:r>
        <w:t>3</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"_Toc67490473" </w:instrText>
      </w:r>
      <w:r>
        <w:fldChar w:fldCharType="separate"/>
      </w:r>
      <w:r>
        <w:rPr>
          <w:rStyle w:val="48"/>
          <w:rFonts w:hint="eastAsia" w:hAnsi="宋体"/>
          <w:color w:val="auto"/>
        </w:rPr>
        <w:t>第二章</w:t>
      </w:r>
      <w:r>
        <w:rPr>
          <w:rStyle w:val="48"/>
          <w:rFonts w:hAnsi="宋体"/>
          <w:color w:val="auto"/>
        </w:rPr>
        <w:t xml:space="preserve">  </w:t>
      </w:r>
      <w:r>
        <w:rPr>
          <w:rStyle w:val="48"/>
          <w:rFonts w:hint="eastAsia" w:hAnsi="宋体"/>
          <w:color w:val="auto"/>
        </w:rPr>
        <w:t>用户需求</w:t>
      </w:r>
      <w:r>
        <w:tab/>
      </w:r>
      <w:r>
        <w:fldChar w:fldCharType="begin"/>
      </w:r>
      <w:r>
        <w:instrText xml:space="preserve"> PAGEREF _Toc67490473 \h </w:instrText>
      </w:r>
      <w:r>
        <w:fldChar w:fldCharType="separate"/>
      </w:r>
      <w:r>
        <w:t>6</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"_Toc67490474" </w:instrText>
      </w:r>
      <w:r>
        <w:fldChar w:fldCharType="separate"/>
      </w:r>
      <w:r>
        <w:rPr>
          <w:rStyle w:val="48"/>
          <w:rFonts w:hint="eastAsia" w:hAnsi="宋体"/>
          <w:color w:val="auto"/>
        </w:rPr>
        <w:t>第三章</w:t>
      </w:r>
      <w:r>
        <w:rPr>
          <w:rStyle w:val="48"/>
          <w:rFonts w:hAnsi="宋体"/>
          <w:color w:val="auto"/>
        </w:rPr>
        <w:t xml:space="preserve">  </w:t>
      </w:r>
      <w:r>
        <w:rPr>
          <w:rStyle w:val="48"/>
          <w:rFonts w:hint="eastAsia" w:hAnsi="宋体"/>
          <w:color w:val="auto"/>
        </w:rPr>
        <w:t>供应商须知</w:t>
      </w:r>
      <w:r>
        <w:tab/>
      </w:r>
      <w:r>
        <w:fldChar w:fldCharType="begin"/>
      </w:r>
      <w:r>
        <w:instrText xml:space="preserve"> PAGEREF _Toc67490474 \h </w:instrText>
      </w:r>
      <w:r>
        <w:fldChar w:fldCharType="separate"/>
      </w:r>
      <w:r>
        <w:t>12</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"_Toc67490475" </w:instrText>
      </w:r>
      <w:r>
        <w:fldChar w:fldCharType="separate"/>
      </w:r>
      <w:r>
        <w:rPr>
          <w:rStyle w:val="48"/>
          <w:rFonts w:hint="eastAsia" w:hAnsi="宋体"/>
          <w:color w:val="auto"/>
        </w:rPr>
        <w:t>第四章</w:t>
      </w:r>
      <w:r>
        <w:rPr>
          <w:rStyle w:val="48"/>
          <w:rFonts w:hAnsi="宋体"/>
          <w:color w:val="auto"/>
        </w:rPr>
        <w:t xml:space="preserve"> </w:t>
      </w:r>
      <w:r>
        <w:rPr>
          <w:rStyle w:val="48"/>
          <w:rFonts w:hint="eastAsia" w:hAnsi="宋体"/>
          <w:color w:val="auto"/>
        </w:rPr>
        <w:t>评审</w:t>
      </w:r>
      <w:r>
        <w:tab/>
      </w:r>
      <w:r>
        <w:fldChar w:fldCharType="begin"/>
      </w:r>
      <w:r>
        <w:instrText xml:space="preserve"> PAGEREF _Toc67490475 \h </w:instrText>
      </w:r>
      <w:r>
        <w:fldChar w:fldCharType="separate"/>
      </w:r>
      <w:r>
        <w:t>21</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"_Toc67490476" </w:instrText>
      </w:r>
      <w:r>
        <w:fldChar w:fldCharType="separate"/>
      </w:r>
      <w:r>
        <w:rPr>
          <w:rStyle w:val="48"/>
          <w:rFonts w:hint="eastAsia" w:hAnsi="宋体"/>
          <w:color w:val="auto"/>
        </w:rPr>
        <w:t>第五章</w:t>
      </w:r>
      <w:r>
        <w:rPr>
          <w:rStyle w:val="48"/>
          <w:rFonts w:hAnsi="宋体"/>
          <w:color w:val="auto"/>
        </w:rPr>
        <w:t xml:space="preserve"> </w:t>
      </w:r>
      <w:r>
        <w:rPr>
          <w:rStyle w:val="48"/>
          <w:rFonts w:hint="eastAsia" w:hAnsi="宋体"/>
          <w:color w:val="auto"/>
        </w:rPr>
        <w:t>合同格式</w:t>
      </w:r>
      <w:r>
        <w:tab/>
      </w:r>
      <w:r>
        <w:fldChar w:fldCharType="begin"/>
      </w:r>
      <w:r>
        <w:instrText xml:space="preserve"> PAGEREF _Toc67490476 \h </w:instrText>
      </w:r>
      <w:r>
        <w:fldChar w:fldCharType="separate"/>
      </w:r>
      <w:r>
        <w:rPr>
          <w:rFonts w:hint="eastAsia"/>
          <w:b w:val="0"/>
          <w:bCs w:val="0"/>
        </w:rPr>
        <w:t>错误！未定义书签。</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"_Toc67490477" </w:instrText>
      </w:r>
      <w:r>
        <w:fldChar w:fldCharType="separate"/>
      </w:r>
      <w:r>
        <w:rPr>
          <w:rStyle w:val="48"/>
          <w:rFonts w:hint="eastAsia" w:hAnsi="宋体"/>
          <w:color w:val="auto"/>
        </w:rPr>
        <w:t>第六章投标文件格式与要求</w:t>
      </w:r>
      <w:r>
        <w:tab/>
      </w:r>
      <w:r>
        <w:fldChar w:fldCharType="begin"/>
      </w:r>
      <w:r>
        <w:instrText xml:space="preserve"> PAGEREF _Toc67490477 \h </w:instrText>
      </w:r>
      <w:r>
        <w:fldChar w:fldCharType="separate"/>
      </w:r>
      <w:r>
        <w:t>35</w:t>
      </w:r>
      <w:r>
        <w:fldChar w:fldCharType="end"/>
      </w:r>
      <w:r>
        <w:fldChar w:fldCharType="end"/>
      </w:r>
    </w:p>
    <w:p>
      <w:pPr>
        <w:spacing w:line="360" w:lineRule="auto"/>
        <w:rPr>
          <w:rFonts w:ascii="宋体" w:hAnsi="宋体" w:eastAsia="宋体" w:cs="宋体"/>
          <w:bCs/>
          <w:sz w:val="22"/>
          <w:szCs w:val="22"/>
        </w:rPr>
      </w:pPr>
      <w:r>
        <w:rPr>
          <w:rFonts w:hint="eastAsia" w:ascii="宋体" w:hAnsi="宋体" w:eastAsia="宋体" w:cs="宋体"/>
          <w:bCs/>
          <w:sz w:val="22"/>
          <w:szCs w:val="22"/>
        </w:rPr>
        <w:fldChar w:fldCharType="end"/>
      </w: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pStyle w:val="2"/>
        <w:keepNext w:val="0"/>
        <w:keepLines w:val="0"/>
        <w:spacing w:before="0" w:after="0" w:line="276" w:lineRule="auto"/>
        <w:jc w:val="center"/>
        <w:rPr>
          <w:rFonts w:hAnsi="宋体"/>
          <w:sz w:val="36"/>
          <w:szCs w:val="28"/>
        </w:rPr>
      </w:pPr>
      <w:bookmarkStart w:id="1" w:name="_Toc56352965"/>
      <w:bookmarkStart w:id="2" w:name="_Toc52027882"/>
      <w:bookmarkStart w:id="3" w:name="_Toc51756448"/>
      <w:bookmarkStart w:id="4" w:name="_Toc52021495"/>
      <w:bookmarkStart w:id="5" w:name="_Toc51939413"/>
      <w:bookmarkStart w:id="6" w:name="_Toc67490472"/>
      <w:bookmarkStart w:id="7" w:name="_Toc467236720"/>
      <w:bookmarkStart w:id="8" w:name="_Toc476976153"/>
      <w:bookmarkStart w:id="9" w:name="_Toc486671525"/>
      <w:r>
        <w:rPr>
          <w:rFonts w:hint="eastAsia" w:hAnsi="宋体"/>
          <w:sz w:val="36"/>
          <w:szCs w:val="28"/>
        </w:rPr>
        <w:t>第一</w:t>
      </w:r>
      <w:bookmarkEnd w:id="1"/>
      <w:bookmarkEnd w:id="2"/>
      <w:bookmarkEnd w:id="3"/>
      <w:bookmarkEnd w:id="4"/>
      <w:bookmarkEnd w:id="5"/>
      <w:r>
        <w:rPr>
          <w:rFonts w:hint="eastAsia" w:hAnsi="宋体"/>
          <w:sz w:val="36"/>
          <w:szCs w:val="28"/>
        </w:rPr>
        <w:t>章 投标邀请</w:t>
      </w:r>
      <w:bookmarkEnd w:id="0"/>
      <w:bookmarkEnd w:id="6"/>
      <w:bookmarkEnd w:id="7"/>
      <w:bookmarkEnd w:id="8"/>
      <w:bookmarkEnd w:id="9"/>
    </w:p>
    <w:p>
      <w:pPr>
        <w:pStyle w:val="21"/>
        <w:spacing w:line="480" w:lineRule="exact"/>
        <w:ind w:firstLine="440" w:firstLineChars="200"/>
        <w:jc w:val="left"/>
        <w:rPr>
          <w:rFonts w:hAnsi="宋体" w:cs="宋体"/>
          <w:sz w:val="22"/>
          <w:szCs w:val="22"/>
        </w:rPr>
      </w:pPr>
      <w:r>
        <w:rPr>
          <w:rFonts w:hint="eastAsia" w:hAnsi="宋体" w:cs="宋体"/>
          <w:sz w:val="22"/>
          <w:szCs w:val="22"/>
        </w:rPr>
        <w:t>东莞市中堂镇招投标服务所（以下简称“采购代理机构”）受</w:t>
      </w:r>
      <w:r>
        <w:rPr>
          <w:rFonts w:hint="eastAsia" w:hAnsi="宋体"/>
          <w:sz w:val="22"/>
          <w:szCs w:val="22"/>
        </w:rPr>
        <w:t>东莞市中堂镇社区卫生服务中心（以下简称“采购人”）委托，</w:t>
      </w:r>
      <w:r>
        <w:t>采用</w:t>
      </w:r>
      <w:r>
        <w:rPr>
          <w:rFonts w:hint="eastAsia" w:hAnsi="宋体" w:cs="宋体"/>
          <w:sz w:val="22"/>
          <w:szCs w:val="22"/>
        </w:rPr>
        <w:t>公开招标</w:t>
      </w:r>
      <w:r>
        <w:t>方式组织采购</w:t>
      </w:r>
      <w:r>
        <w:rPr>
          <w:rFonts w:hint="eastAsia" w:hAnsi="宋体"/>
          <w:sz w:val="22"/>
          <w:szCs w:val="22"/>
        </w:rPr>
        <w:t>东莞市中堂镇社区卫生服务中心公共卫生服务设备购置</w:t>
      </w:r>
      <w:r>
        <w:rPr>
          <w:rFonts w:hint="eastAsia" w:hAnsi="宋体" w:cs="宋体"/>
          <w:sz w:val="22"/>
          <w:szCs w:val="22"/>
        </w:rPr>
        <w:t>，</w:t>
      </w:r>
      <w:r>
        <w:rPr>
          <w:rFonts w:hAnsi="宋体" w:cs="宋体"/>
          <w:sz w:val="22"/>
          <w:szCs w:val="22"/>
        </w:rPr>
        <w:t>欢迎符合资格条件的投标供应商参加投标。</w:t>
      </w:r>
    </w:p>
    <w:p>
      <w:pPr>
        <w:pStyle w:val="21"/>
        <w:spacing w:line="480" w:lineRule="exact"/>
        <w:ind w:firstLine="442" w:firstLineChars="200"/>
        <w:rPr>
          <w:rFonts w:hAnsi="宋体" w:cs="宋体"/>
          <w:b/>
          <w:sz w:val="22"/>
          <w:szCs w:val="22"/>
        </w:rPr>
      </w:pPr>
      <w:r>
        <w:rPr>
          <w:rFonts w:hint="eastAsia" w:hAnsi="宋体" w:cs="宋体"/>
          <w:b/>
          <w:bCs/>
          <w:sz w:val="22"/>
          <w:szCs w:val="22"/>
        </w:rPr>
        <w:t>一、项目概述</w:t>
      </w:r>
      <w:r>
        <w:rPr>
          <w:rFonts w:hint="eastAsia" w:hAnsi="宋体" w:cs="宋体"/>
          <w:b/>
          <w:sz w:val="22"/>
          <w:szCs w:val="22"/>
        </w:rPr>
        <w:t>：</w:t>
      </w:r>
    </w:p>
    <w:p>
      <w:pPr>
        <w:pStyle w:val="21"/>
        <w:spacing w:line="480" w:lineRule="exact"/>
        <w:ind w:firstLine="440" w:firstLineChars="200"/>
        <w:jc w:val="left"/>
        <w:rPr>
          <w:rFonts w:hAnsi="宋体" w:cs="宋体"/>
          <w:sz w:val="22"/>
          <w:szCs w:val="22"/>
        </w:rPr>
      </w:pPr>
      <w:r>
        <w:rPr>
          <w:rFonts w:hAnsi="宋体" w:cs="宋体"/>
          <w:sz w:val="22"/>
          <w:szCs w:val="22"/>
        </w:rPr>
        <w:t>1.名称与编号</w:t>
      </w:r>
    </w:p>
    <w:p>
      <w:pPr>
        <w:pStyle w:val="21"/>
        <w:spacing w:line="480" w:lineRule="exact"/>
        <w:ind w:firstLine="440" w:firstLineChars="200"/>
        <w:jc w:val="left"/>
        <w:rPr>
          <w:rFonts w:hAnsi="宋体" w:cs="宋体"/>
          <w:sz w:val="22"/>
          <w:szCs w:val="22"/>
        </w:rPr>
      </w:pPr>
      <w:r>
        <w:rPr>
          <w:rFonts w:hAnsi="宋体" w:cs="宋体"/>
          <w:sz w:val="22"/>
          <w:szCs w:val="22"/>
        </w:rPr>
        <w:t>项目名称：</w:t>
      </w:r>
      <w:r>
        <w:rPr>
          <w:rFonts w:hint="eastAsia" w:hAnsi="宋体"/>
          <w:sz w:val="22"/>
          <w:szCs w:val="22"/>
        </w:rPr>
        <w:t>东莞市中堂镇社区卫生服务中心公共卫生服务设备购置</w:t>
      </w:r>
    </w:p>
    <w:p>
      <w:pPr>
        <w:pStyle w:val="21"/>
        <w:spacing w:line="480" w:lineRule="exact"/>
        <w:ind w:firstLine="440" w:firstLineChars="200"/>
        <w:jc w:val="left"/>
        <w:rPr>
          <w:rFonts w:hAnsi="宋体" w:cs="宋体"/>
          <w:sz w:val="22"/>
          <w:szCs w:val="22"/>
        </w:rPr>
      </w:pPr>
      <w:r>
        <w:rPr>
          <w:rFonts w:hAnsi="宋体" w:cs="宋体"/>
          <w:sz w:val="22"/>
          <w:szCs w:val="22"/>
        </w:rPr>
        <w:t>项目编号：</w:t>
      </w:r>
      <w:r>
        <w:rPr>
          <w:rFonts w:hint="eastAsia" w:hAnsi="宋体" w:cs="宋体"/>
          <w:sz w:val="22"/>
          <w:szCs w:val="22"/>
        </w:rPr>
        <w:t>ZTFS2021060</w:t>
      </w:r>
    </w:p>
    <w:p>
      <w:pPr>
        <w:pStyle w:val="21"/>
        <w:spacing w:line="480" w:lineRule="exact"/>
        <w:ind w:firstLine="440" w:firstLineChars="200"/>
        <w:jc w:val="left"/>
        <w:rPr>
          <w:rFonts w:hAnsi="宋体" w:cs="宋体"/>
          <w:sz w:val="22"/>
          <w:szCs w:val="22"/>
        </w:rPr>
      </w:pPr>
      <w:r>
        <w:rPr>
          <w:rFonts w:hAnsi="宋体" w:cs="宋体"/>
          <w:sz w:val="22"/>
          <w:szCs w:val="22"/>
        </w:rPr>
        <w:t>采购方式：</w:t>
      </w:r>
      <w:r>
        <w:rPr>
          <w:rFonts w:hint="eastAsia" w:hAnsi="宋体" w:cs="宋体"/>
          <w:sz w:val="22"/>
          <w:szCs w:val="22"/>
        </w:rPr>
        <w:t>公开招标</w:t>
      </w:r>
    </w:p>
    <w:p>
      <w:pPr>
        <w:pStyle w:val="21"/>
        <w:spacing w:line="480" w:lineRule="exact"/>
        <w:ind w:firstLine="440" w:firstLineChars="200"/>
        <w:jc w:val="left"/>
        <w:rPr>
          <w:rFonts w:hAnsi="宋体" w:cs="宋体"/>
          <w:sz w:val="22"/>
          <w:szCs w:val="22"/>
        </w:rPr>
      </w:pPr>
      <w:r>
        <w:rPr>
          <w:rFonts w:hAnsi="宋体" w:cs="宋体"/>
          <w:sz w:val="22"/>
          <w:szCs w:val="22"/>
        </w:rPr>
        <w:t>预算金额：¥</w:t>
      </w:r>
      <w:r>
        <w:rPr>
          <w:rFonts w:hint="eastAsia" w:hAnsi="宋体" w:cs="宋体"/>
          <w:sz w:val="22"/>
          <w:szCs w:val="22"/>
        </w:rPr>
        <w:t>690</w:t>
      </w:r>
      <w:r>
        <w:rPr>
          <w:rFonts w:hAnsi="宋体" w:cs="宋体"/>
          <w:sz w:val="22"/>
          <w:szCs w:val="22"/>
        </w:rPr>
        <w:t>,</w:t>
      </w:r>
      <w:r>
        <w:rPr>
          <w:rFonts w:hint="eastAsia" w:hAnsi="宋体" w:cs="宋体"/>
          <w:sz w:val="22"/>
          <w:szCs w:val="22"/>
        </w:rPr>
        <w:t>000</w:t>
      </w:r>
      <w:r>
        <w:rPr>
          <w:rFonts w:hAnsi="宋体" w:cs="宋体"/>
          <w:sz w:val="22"/>
          <w:szCs w:val="22"/>
        </w:rPr>
        <w:t>.</w:t>
      </w:r>
      <w:r>
        <w:rPr>
          <w:rFonts w:hint="eastAsia" w:hAnsi="宋体" w:cs="宋体"/>
          <w:sz w:val="22"/>
          <w:szCs w:val="22"/>
        </w:rPr>
        <w:t>00</w:t>
      </w:r>
      <w:r>
        <w:rPr>
          <w:rFonts w:hAnsi="宋体" w:cs="宋体"/>
          <w:sz w:val="22"/>
          <w:szCs w:val="22"/>
        </w:rPr>
        <w:t>元</w:t>
      </w:r>
    </w:p>
    <w:p>
      <w:pPr>
        <w:pStyle w:val="21"/>
        <w:spacing w:line="480" w:lineRule="exact"/>
        <w:ind w:firstLine="440" w:firstLineChars="200"/>
        <w:jc w:val="left"/>
        <w:rPr>
          <w:rFonts w:hAnsi="宋体" w:cs="宋体"/>
          <w:sz w:val="22"/>
          <w:szCs w:val="22"/>
        </w:rPr>
      </w:pPr>
      <w:r>
        <w:rPr>
          <w:rFonts w:hAnsi="宋体" w:cs="宋体"/>
          <w:sz w:val="22"/>
          <w:szCs w:val="22"/>
        </w:rPr>
        <w:t>2.内容及包组情况（技术规格、参数及要求）</w:t>
      </w:r>
    </w:p>
    <w:p>
      <w:pPr>
        <w:pStyle w:val="21"/>
        <w:spacing w:line="480" w:lineRule="exact"/>
        <w:jc w:val="left"/>
        <w:rPr>
          <w:rFonts w:hAnsi="宋体"/>
          <w:sz w:val="22"/>
          <w:szCs w:val="22"/>
        </w:rPr>
      </w:pPr>
      <w:r>
        <w:rPr>
          <w:rFonts w:hAnsi="宋体" w:cs="宋体"/>
          <w:sz w:val="22"/>
          <w:szCs w:val="22"/>
        </w:rPr>
        <w:t>包组1(</w:t>
      </w:r>
      <w:r>
        <w:rPr>
          <w:rFonts w:hint="eastAsia" w:hAnsi="宋体"/>
          <w:sz w:val="22"/>
          <w:szCs w:val="22"/>
        </w:rPr>
        <w:t>公共卫生服务设备</w:t>
      </w:r>
      <w:r>
        <w:t>): 包组预算金额：</w:t>
      </w:r>
      <w:r>
        <w:rPr>
          <w:rFonts w:hAnsi="宋体" w:cs="宋体"/>
          <w:sz w:val="22"/>
          <w:szCs w:val="22"/>
        </w:rPr>
        <w:t>¥</w:t>
      </w:r>
      <w:r>
        <w:rPr>
          <w:rFonts w:hint="eastAsia" w:hAnsi="宋体" w:cs="宋体"/>
          <w:sz w:val="22"/>
          <w:szCs w:val="22"/>
        </w:rPr>
        <w:t>690</w:t>
      </w:r>
      <w:r>
        <w:rPr>
          <w:rFonts w:hAnsi="宋体" w:cs="宋体"/>
          <w:sz w:val="22"/>
          <w:szCs w:val="22"/>
        </w:rPr>
        <w:t>,</w:t>
      </w:r>
      <w:r>
        <w:rPr>
          <w:rFonts w:hint="eastAsia" w:hAnsi="宋体" w:cs="宋体"/>
          <w:sz w:val="22"/>
          <w:szCs w:val="22"/>
        </w:rPr>
        <w:t>000</w:t>
      </w:r>
      <w:r>
        <w:rPr>
          <w:rFonts w:hAnsi="宋体" w:cs="宋体"/>
          <w:sz w:val="22"/>
          <w:szCs w:val="22"/>
        </w:rPr>
        <w:t>.</w:t>
      </w:r>
      <w:r>
        <w:rPr>
          <w:rFonts w:hint="eastAsia" w:hAnsi="宋体" w:cs="宋体"/>
          <w:sz w:val="22"/>
          <w:szCs w:val="22"/>
        </w:rPr>
        <w:t>00</w:t>
      </w:r>
      <w:r>
        <w:t>元</w:t>
      </w:r>
    </w:p>
    <w:tbl>
      <w:tblPr>
        <w:tblStyle w:val="4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34"/>
        <w:gridCol w:w="1701"/>
        <w:gridCol w:w="992"/>
        <w:gridCol w:w="1134"/>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1"/>
              <w:spacing w:line="480" w:lineRule="exact"/>
              <w:rPr>
                <w:rFonts w:hAnsi="宋体"/>
                <w:sz w:val="22"/>
              </w:rPr>
            </w:pPr>
            <w:r>
              <w:rPr>
                <w:rFonts w:hAnsi="宋体"/>
                <w:sz w:val="22"/>
              </w:rPr>
              <w:t>品目号</w:t>
            </w:r>
          </w:p>
        </w:tc>
        <w:tc>
          <w:tcPr>
            <w:tcW w:w="1134" w:type="dxa"/>
            <w:vAlign w:val="center"/>
          </w:tcPr>
          <w:p>
            <w:pPr>
              <w:pStyle w:val="21"/>
              <w:spacing w:line="480" w:lineRule="exact"/>
              <w:rPr>
                <w:rFonts w:hAnsi="宋体"/>
                <w:sz w:val="22"/>
              </w:rPr>
            </w:pPr>
            <w:r>
              <w:rPr>
                <w:rFonts w:hAnsi="宋体"/>
                <w:sz w:val="22"/>
              </w:rPr>
              <w:t>品目名称</w:t>
            </w:r>
          </w:p>
        </w:tc>
        <w:tc>
          <w:tcPr>
            <w:tcW w:w="1701" w:type="dxa"/>
            <w:vAlign w:val="center"/>
          </w:tcPr>
          <w:p>
            <w:pPr>
              <w:pStyle w:val="21"/>
              <w:spacing w:line="480" w:lineRule="exact"/>
              <w:rPr>
                <w:rFonts w:hAnsi="宋体"/>
                <w:sz w:val="22"/>
              </w:rPr>
            </w:pPr>
            <w:r>
              <w:rPr>
                <w:rFonts w:hAnsi="宋体"/>
                <w:sz w:val="22"/>
              </w:rPr>
              <w:t>采购标的</w:t>
            </w:r>
          </w:p>
        </w:tc>
        <w:tc>
          <w:tcPr>
            <w:tcW w:w="992" w:type="dxa"/>
            <w:vAlign w:val="center"/>
          </w:tcPr>
          <w:p>
            <w:pPr>
              <w:pStyle w:val="21"/>
              <w:spacing w:line="480" w:lineRule="exact"/>
              <w:rPr>
                <w:rFonts w:hAnsi="宋体"/>
                <w:sz w:val="22"/>
              </w:rPr>
            </w:pPr>
            <w:r>
              <w:rPr>
                <w:rFonts w:hAnsi="宋体"/>
                <w:sz w:val="22"/>
              </w:rPr>
              <w:t>数量（单位）</w:t>
            </w:r>
          </w:p>
        </w:tc>
        <w:tc>
          <w:tcPr>
            <w:tcW w:w="1134" w:type="dxa"/>
            <w:vAlign w:val="center"/>
          </w:tcPr>
          <w:p>
            <w:pPr>
              <w:pStyle w:val="21"/>
              <w:spacing w:line="480" w:lineRule="exact"/>
              <w:rPr>
                <w:rFonts w:hAnsi="宋体"/>
                <w:sz w:val="22"/>
              </w:rPr>
            </w:pPr>
            <w:r>
              <w:rPr>
                <w:rFonts w:hAnsi="宋体"/>
                <w:sz w:val="22"/>
              </w:rPr>
              <w:t>技术规格、参数及要求</w:t>
            </w:r>
          </w:p>
        </w:tc>
        <w:tc>
          <w:tcPr>
            <w:tcW w:w="1843" w:type="dxa"/>
            <w:vAlign w:val="center"/>
          </w:tcPr>
          <w:p>
            <w:pPr>
              <w:pStyle w:val="21"/>
              <w:spacing w:line="480" w:lineRule="exact"/>
              <w:rPr>
                <w:rFonts w:hAnsi="宋体"/>
                <w:sz w:val="22"/>
              </w:rPr>
            </w:pPr>
            <w:r>
              <w:rPr>
                <w:rFonts w:hAnsi="宋体"/>
                <w:sz w:val="22"/>
              </w:rPr>
              <w:t>品目预算</w:t>
            </w:r>
            <w:r>
              <w:rPr>
                <w:rFonts w:hint="eastAsia" w:hAnsi="宋体"/>
                <w:sz w:val="22"/>
              </w:rPr>
              <w:t>(</w:t>
            </w:r>
            <w:r>
              <w:rPr>
                <w:rFonts w:hAnsi="宋体"/>
                <w:sz w:val="22"/>
              </w:rPr>
              <w:t>元</w:t>
            </w:r>
            <w:r>
              <w:rPr>
                <w:rFonts w:hint="eastAsia" w:hAnsi="宋体"/>
                <w:sz w:val="22"/>
              </w:rPr>
              <w:t>)</w:t>
            </w:r>
          </w:p>
        </w:tc>
        <w:tc>
          <w:tcPr>
            <w:tcW w:w="1134" w:type="dxa"/>
            <w:vAlign w:val="center"/>
          </w:tcPr>
          <w:p>
            <w:pPr>
              <w:pStyle w:val="21"/>
              <w:spacing w:line="480" w:lineRule="exact"/>
              <w:rPr>
                <w:rFonts w:hAnsi="宋体"/>
                <w:sz w:val="22"/>
              </w:rPr>
            </w:pPr>
            <w:r>
              <w:rPr>
                <w:rFonts w:hAnsi="宋体"/>
                <w:sz w:val="22"/>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1"/>
              <w:spacing w:line="480" w:lineRule="exact"/>
              <w:ind w:firstLine="440"/>
              <w:rPr>
                <w:rFonts w:hAnsi="宋体"/>
                <w:sz w:val="22"/>
              </w:rPr>
            </w:pPr>
            <w:r>
              <w:rPr>
                <w:rFonts w:hAnsi="宋体"/>
                <w:sz w:val="22"/>
              </w:rPr>
              <w:t>1</w:t>
            </w:r>
          </w:p>
        </w:tc>
        <w:tc>
          <w:tcPr>
            <w:tcW w:w="1134" w:type="dxa"/>
            <w:vAlign w:val="center"/>
          </w:tcPr>
          <w:p>
            <w:pPr>
              <w:pStyle w:val="21"/>
              <w:spacing w:line="480" w:lineRule="exact"/>
              <w:rPr>
                <w:rFonts w:hAnsi="宋体"/>
                <w:sz w:val="22"/>
              </w:rPr>
            </w:pPr>
            <w:r>
              <w:rPr>
                <w:rFonts w:hint="eastAsia" w:hAnsi="宋体"/>
                <w:sz w:val="22"/>
              </w:rPr>
              <w:t>其他医疗设备</w:t>
            </w:r>
          </w:p>
        </w:tc>
        <w:tc>
          <w:tcPr>
            <w:tcW w:w="1701" w:type="dxa"/>
            <w:vAlign w:val="center"/>
          </w:tcPr>
          <w:p>
            <w:pPr>
              <w:pStyle w:val="21"/>
              <w:spacing w:line="480" w:lineRule="exact"/>
              <w:rPr>
                <w:rFonts w:hAnsi="宋体"/>
                <w:sz w:val="22"/>
              </w:rPr>
            </w:pPr>
            <w:r>
              <w:rPr>
                <w:rFonts w:hint="eastAsia" w:hAnsi="宋体"/>
                <w:sz w:val="22"/>
                <w:szCs w:val="22"/>
              </w:rPr>
              <w:t>公共卫生服务设备</w:t>
            </w:r>
          </w:p>
        </w:tc>
        <w:tc>
          <w:tcPr>
            <w:tcW w:w="992" w:type="dxa"/>
            <w:vAlign w:val="center"/>
          </w:tcPr>
          <w:p>
            <w:pPr>
              <w:pStyle w:val="21"/>
              <w:spacing w:line="480" w:lineRule="exact"/>
              <w:rPr>
                <w:rFonts w:hAnsi="宋体"/>
                <w:sz w:val="22"/>
              </w:rPr>
            </w:pPr>
            <w:r>
              <w:rPr>
                <w:rFonts w:hint="eastAsia" w:hAnsi="宋体"/>
                <w:sz w:val="22"/>
              </w:rPr>
              <w:t>1项</w:t>
            </w:r>
          </w:p>
        </w:tc>
        <w:tc>
          <w:tcPr>
            <w:tcW w:w="1134" w:type="dxa"/>
            <w:vAlign w:val="center"/>
          </w:tcPr>
          <w:p>
            <w:pPr>
              <w:pStyle w:val="21"/>
              <w:spacing w:line="480" w:lineRule="exact"/>
              <w:rPr>
                <w:rFonts w:hAnsi="宋体"/>
                <w:sz w:val="22"/>
              </w:rPr>
            </w:pPr>
            <w:r>
              <w:rPr>
                <w:rFonts w:hAnsi="宋体"/>
                <w:sz w:val="22"/>
              </w:rPr>
              <w:t>详见第二章</w:t>
            </w:r>
          </w:p>
        </w:tc>
        <w:tc>
          <w:tcPr>
            <w:tcW w:w="1843" w:type="dxa"/>
            <w:vAlign w:val="center"/>
          </w:tcPr>
          <w:p>
            <w:pPr>
              <w:pStyle w:val="21"/>
              <w:spacing w:line="480" w:lineRule="exact"/>
              <w:rPr>
                <w:rFonts w:hAnsi="宋体"/>
                <w:sz w:val="22"/>
              </w:rPr>
            </w:pPr>
            <w:r>
              <w:rPr>
                <w:rFonts w:hAnsi="宋体" w:cs="宋体"/>
                <w:sz w:val="22"/>
                <w:szCs w:val="22"/>
              </w:rPr>
              <w:t>¥</w:t>
            </w:r>
            <w:r>
              <w:rPr>
                <w:rFonts w:hint="eastAsia" w:hAnsi="宋体" w:cs="宋体"/>
                <w:sz w:val="22"/>
                <w:szCs w:val="22"/>
              </w:rPr>
              <w:t>690</w:t>
            </w:r>
            <w:r>
              <w:rPr>
                <w:rFonts w:hAnsi="宋体" w:cs="宋体"/>
                <w:sz w:val="22"/>
                <w:szCs w:val="22"/>
              </w:rPr>
              <w:t>,</w:t>
            </w:r>
            <w:r>
              <w:rPr>
                <w:rFonts w:hint="eastAsia" w:hAnsi="宋体" w:cs="宋体"/>
                <w:sz w:val="22"/>
                <w:szCs w:val="22"/>
              </w:rPr>
              <w:t>000</w:t>
            </w:r>
            <w:r>
              <w:rPr>
                <w:rFonts w:hAnsi="宋体" w:cs="宋体"/>
                <w:sz w:val="22"/>
                <w:szCs w:val="22"/>
              </w:rPr>
              <w:t>.</w:t>
            </w:r>
            <w:r>
              <w:rPr>
                <w:rFonts w:hint="eastAsia" w:hAnsi="宋体" w:cs="宋体"/>
                <w:sz w:val="22"/>
                <w:szCs w:val="22"/>
              </w:rPr>
              <w:t>00</w:t>
            </w:r>
          </w:p>
        </w:tc>
        <w:tc>
          <w:tcPr>
            <w:tcW w:w="1134" w:type="dxa"/>
            <w:vAlign w:val="center"/>
          </w:tcPr>
          <w:p>
            <w:pPr>
              <w:pStyle w:val="21"/>
              <w:spacing w:line="480" w:lineRule="exact"/>
              <w:ind w:firstLine="440"/>
              <w:rPr>
                <w:rFonts w:hAnsi="宋体"/>
                <w:sz w:val="22"/>
              </w:rPr>
            </w:pPr>
            <w:r>
              <w:rPr>
                <w:rFonts w:hAnsi="宋体"/>
                <w:sz w:val="22"/>
              </w:rPr>
              <w:t>否</w:t>
            </w:r>
          </w:p>
        </w:tc>
      </w:tr>
    </w:tbl>
    <w:p>
      <w:pPr>
        <w:pStyle w:val="21"/>
        <w:spacing w:line="360" w:lineRule="auto"/>
        <w:ind w:firstLine="442" w:firstLineChars="200"/>
        <w:rPr>
          <w:rFonts w:hAnsi="宋体" w:cs="宋体"/>
          <w:b/>
          <w:bCs/>
          <w:sz w:val="22"/>
          <w:szCs w:val="22"/>
        </w:rPr>
      </w:pPr>
      <w:r>
        <w:rPr>
          <w:rFonts w:hint="eastAsia" w:hAnsi="宋体" w:cs="宋体"/>
          <w:b/>
          <w:bCs/>
          <w:sz w:val="22"/>
          <w:szCs w:val="22"/>
        </w:rPr>
        <w:t>二、</w:t>
      </w:r>
      <w:r>
        <w:rPr>
          <w:rFonts w:hAnsi="宋体" w:cs="宋体"/>
          <w:b/>
          <w:bCs/>
          <w:sz w:val="22"/>
          <w:szCs w:val="22"/>
        </w:rPr>
        <w:t>投标供应商</w:t>
      </w:r>
      <w:r>
        <w:rPr>
          <w:rFonts w:hint="eastAsia" w:hAnsi="宋体" w:cs="宋体"/>
          <w:b/>
          <w:bCs/>
          <w:sz w:val="22"/>
          <w:szCs w:val="22"/>
        </w:rPr>
        <w:t>资格要求：</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1.投标供应商应具备《政府采购法》第二十二条规定的条件，提供下列材料：</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1）具有独立承担民事责任的能力：在中华人民共和国境内注册的法人或其他组织或自然人，投标时提交有效的营业执照（或事业法人登记证或身份证等相关证明）副本复印件。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2）有依法缴纳税收和社会保障资金的良好记录：提供投标截止日前6个月内任意1个月依法缴纳税收和社会保障资金的相关材料。如依法免税或不需要缴纳社会保障资金的，提供相应证明材料。</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3）具有良好的商业信誉和健全的财务会计制度：供应商必须具有良好的商业信誉和健全的财务会计制度（提供2019年度财务状况报告或基本开户行出具的资信证明）。</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4）履行合同所必</w:t>
      </w:r>
      <w:r>
        <w:rPr>
          <w:rFonts w:hint="eastAsia" w:ascii="宋体" w:hAnsi="宋体" w:eastAsia="宋体"/>
          <w:sz w:val="22"/>
          <w:szCs w:val="22"/>
          <w:lang w:val="en-US" w:eastAsia="zh-CN"/>
        </w:rPr>
        <w:t>需</w:t>
      </w:r>
      <w:r>
        <w:rPr>
          <w:rFonts w:hint="eastAsia" w:ascii="宋体" w:hAnsi="宋体" w:eastAsia="宋体"/>
          <w:sz w:val="22"/>
          <w:szCs w:val="22"/>
        </w:rPr>
        <w:t>的设备和专业技术能力：按投标（响应）文件格式填报设备及专业技术能力情况。</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5）参加采购活动前3年内，在经营活动中没有重大违法记录：参照投标（报价）函相关承诺格式内容。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7）供应商必须符合法律、行政法规规定的其他条件：单位负责人为同一人或者存在直接控股、管理关系的不同供应商，不得同时参加本采购项目（包组）投标。 为本项目提供整体设计、规范编制或者项目管理、监理、检测等服务的供应商，不得再参与本项目投标。 投标（报价）函相关承诺要求内容。</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2.落实政府采购政策需满足的资格要求：</w:t>
      </w:r>
    </w:p>
    <w:p>
      <w:pPr>
        <w:pStyle w:val="21"/>
        <w:spacing w:line="480" w:lineRule="exact"/>
        <w:ind w:firstLine="440" w:firstLineChars="200"/>
        <w:jc w:val="left"/>
        <w:rPr>
          <w:rFonts w:hAnsi="宋体"/>
          <w:sz w:val="22"/>
          <w:szCs w:val="22"/>
        </w:rPr>
      </w:pPr>
      <w:r>
        <w:rPr>
          <w:rFonts w:hAnsi="宋体"/>
          <w:sz w:val="22"/>
          <w:szCs w:val="22"/>
        </w:rPr>
        <w:t>合同包1(</w:t>
      </w:r>
      <w:r>
        <w:rPr>
          <w:rFonts w:hint="eastAsia" w:hAnsi="宋体"/>
          <w:sz w:val="22"/>
          <w:szCs w:val="22"/>
        </w:rPr>
        <w:t>公共卫生服务设备</w:t>
      </w:r>
      <w:r>
        <w:rPr>
          <w:rFonts w:hAnsi="宋体"/>
          <w:sz w:val="22"/>
          <w:szCs w:val="22"/>
        </w:rPr>
        <w:t>)落实政府采购政策需满足的资格要求如下:</w:t>
      </w:r>
    </w:p>
    <w:p>
      <w:pPr>
        <w:spacing w:line="340" w:lineRule="exact"/>
        <w:ind w:firstLine="440" w:firstLineChars="200"/>
        <w:rPr>
          <w:rFonts w:ascii="宋体" w:eastAsia="宋体" w:cs="宋体"/>
          <w:sz w:val="22"/>
          <w:szCs w:val="22"/>
        </w:rPr>
      </w:pPr>
      <w:r>
        <w:rPr>
          <w:rFonts w:ascii="宋体" w:hAnsi="宋体" w:eastAsia="宋体"/>
          <w:sz w:val="22"/>
          <w:szCs w:val="22"/>
        </w:rPr>
        <w:t>本项目属于专门面向中小企业采购的项目。</w:t>
      </w:r>
      <w:r>
        <w:rPr>
          <w:rFonts w:ascii="宋体" w:eastAsia="宋体" w:cs="宋体"/>
          <w:sz w:val="22"/>
          <w:szCs w:val="22"/>
        </w:rPr>
        <w:t>本项目的中小企业划分标准所属行业为：</w:t>
      </w:r>
      <w:r>
        <w:rPr>
          <w:rFonts w:hint="eastAsia" w:ascii="宋体" w:eastAsia="宋体" w:cs="宋体"/>
          <w:sz w:val="22"/>
          <w:szCs w:val="22"/>
        </w:rPr>
        <w:t>工</w:t>
      </w:r>
      <w:r>
        <w:rPr>
          <w:rFonts w:ascii="宋体" w:eastAsia="宋体" w:cs="宋体"/>
          <w:sz w:val="22"/>
          <w:szCs w:val="22"/>
        </w:rPr>
        <w:t>业。</w:t>
      </w:r>
    </w:p>
    <w:p>
      <w:pPr>
        <w:spacing w:line="480" w:lineRule="exact"/>
        <w:ind w:firstLine="440" w:firstLineChars="200"/>
        <w:rPr>
          <w:rFonts w:ascii="宋体" w:hAnsi="宋体" w:eastAsia="宋体"/>
          <w:sz w:val="22"/>
          <w:szCs w:val="22"/>
        </w:rPr>
      </w:pPr>
      <w:r>
        <w:rPr>
          <w:rFonts w:ascii="宋体" w:hAnsi="宋体" w:eastAsia="宋体"/>
          <w:sz w:val="22"/>
          <w:szCs w:val="22"/>
        </w:rPr>
        <w:t>3.本项目特定的资格要求：</w:t>
      </w:r>
    </w:p>
    <w:p>
      <w:pPr>
        <w:spacing w:line="480" w:lineRule="exact"/>
        <w:ind w:firstLine="440" w:firstLineChars="200"/>
        <w:rPr>
          <w:rFonts w:ascii="宋体" w:hAnsi="宋体" w:eastAsia="宋体"/>
          <w:sz w:val="22"/>
          <w:szCs w:val="22"/>
        </w:rPr>
      </w:pPr>
      <w:r>
        <w:rPr>
          <w:rFonts w:ascii="宋体" w:hAnsi="宋体" w:eastAsia="宋体"/>
          <w:sz w:val="22"/>
          <w:szCs w:val="22"/>
        </w:rPr>
        <w:t>合同包1（</w:t>
      </w:r>
      <w:r>
        <w:rPr>
          <w:rFonts w:hint="eastAsia" w:ascii="宋体" w:hAnsi="宋体" w:eastAsia="宋体"/>
          <w:sz w:val="22"/>
          <w:szCs w:val="22"/>
        </w:rPr>
        <w:t>公共卫生服务设备</w:t>
      </w:r>
      <w:r>
        <w:rPr>
          <w:rFonts w:ascii="宋体" w:hAnsi="宋体" w:eastAsia="宋体"/>
          <w:sz w:val="22"/>
          <w:szCs w:val="22"/>
        </w:rPr>
        <w:t>）：</w:t>
      </w:r>
    </w:p>
    <w:p>
      <w:pPr>
        <w:spacing w:line="480" w:lineRule="exact"/>
        <w:ind w:firstLine="440" w:firstLineChars="200"/>
        <w:rPr>
          <w:rFonts w:ascii="仿宋" w:hAnsi="仿宋" w:eastAsia="仿宋"/>
          <w:sz w:val="24"/>
        </w:rPr>
      </w:pPr>
      <w:r>
        <w:rPr>
          <w:rFonts w:hint="eastAsia" w:ascii="宋体" w:hAnsi="宋体" w:eastAsia="宋体"/>
          <w:sz w:val="22"/>
          <w:szCs w:val="22"/>
        </w:rPr>
        <w:t>无。</w:t>
      </w:r>
      <w:r>
        <w:rPr>
          <w:rFonts w:hint="eastAsia" w:ascii="仿宋" w:hAnsi="仿宋" w:eastAsia="仿宋"/>
          <w:sz w:val="24"/>
        </w:rPr>
        <w:t xml:space="preserve"> </w:t>
      </w:r>
    </w:p>
    <w:p>
      <w:pPr>
        <w:spacing w:line="480" w:lineRule="exact"/>
        <w:ind w:firstLine="442" w:firstLineChars="200"/>
        <w:rPr>
          <w:rFonts w:ascii="宋体" w:hAnsi="宋体" w:eastAsia="宋体"/>
          <w:b/>
          <w:bCs/>
          <w:sz w:val="22"/>
          <w:szCs w:val="22"/>
        </w:rPr>
      </w:pPr>
      <w:r>
        <w:rPr>
          <w:rFonts w:hint="eastAsia" w:ascii="宋体" w:hAnsi="宋体" w:eastAsia="宋体"/>
          <w:b/>
          <w:bCs/>
          <w:sz w:val="22"/>
          <w:szCs w:val="22"/>
        </w:rPr>
        <w:t>三、获取招标文件：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 xml:space="preserve">1、获取招标文件时间：2021年7月19日起至2021年7月26日（节假日除外），上午8：30～12：00，下午14：30～17：30（北京时间）。 </w:t>
      </w:r>
    </w:p>
    <w:p>
      <w:pPr>
        <w:spacing w:line="480" w:lineRule="exact"/>
        <w:ind w:firstLine="440" w:firstLineChars="200"/>
        <w:jc w:val="left"/>
        <w:rPr>
          <w:rFonts w:ascii="宋体" w:hAnsi="宋体" w:eastAsia="宋体"/>
          <w:sz w:val="22"/>
          <w:szCs w:val="22"/>
        </w:rPr>
      </w:pPr>
      <w:r>
        <w:rPr>
          <w:rFonts w:hint="eastAsia" w:ascii="宋体" w:hAnsi="宋体" w:eastAsia="宋体"/>
          <w:sz w:val="22"/>
          <w:szCs w:val="22"/>
        </w:rPr>
        <w:t>2、获取招标文件地点：东莞市中堂镇新兴路98号人民政府城建大楼四楼招投标服务所办公室。</w:t>
      </w:r>
    </w:p>
    <w:p>
      <w:pPr>
        <w:numPr>
          <w:ilvl w:val="0"/>
          <w:numId w:val="3"/>
        </w:numPr>
        <w:spacing w:line="480" w:lineRule="exact"/>
        <w:ind w:firstLine="440" w:firstLineChars="200"/>
        <w:jc w:val="left"/>
        <w:rPr>
          <w:rFonts w:ascii="宋体" w:hAnsi="宋体" w:eastAsia="宋体"/>
          <w:sz w:val="22"/>
          <w:szCs w:val="22"/>
        </w:rPr>
      </w:pPr>
      <w:r>
        <w:rPr>
          <w:rFonts w:hint="eastAsia" w:ascii="宋体" w:hAnsi="宋体" w:eastAsia="宋体"/>
          <w:sz w:val="22"/>
          <w:szCs w:val="22"/>
        </w:rPr>
        <w:t>获取招标文件方式：现场获取。</w:t>
      </w:r>
    </w:p>
    <w:p>
      <w:pPr>
        <w:pStyle w:val="21"/>
        <w:spacing w:line="480" w:lineRule="exact"/>
        <w:ind w:firstLine="442" w:firstLineChars="200"/>
        <w:rPr>
          <w:rFonts w:hAnsi="宋体"/>
          <w:b/>
          <w:bCs/>
          <w:sz w:val="22"/>
          <w:szCs w:val="22"/>
        </w:rPr>
      </w:pPr>
      <w:r>
        <w:rPr>
          <w:rFonts w:hint="eastAsia" w:hAnsi="宋体"/>
          <w:b/>
          <w:bCs/>
          <w:sz w:val="22"/>
          <w:szCs w:val="22"/>
        </w:rPr>
        <w:t>四、接收投标文件的时间、地点、截止时间，开启投标文件时间、地点</w:t>
      </w:r>
      <w:r>
        <w:rPr>
          <w:rFonts w:hint="eastAsia" w:hAnsi="宋体"/>
          <w:b/>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1、接收投标文件的时间：2021年8月10日下午14：00～14：30。</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2、截止时间及开启文件时间：2021年8月10日下午14时30分。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3、接收投标文件地点：东莞市中堂镇新兴路98号人民政府礼堂一楼会议8室。</w:t>
      </w:r>
    </w:p>
    <w:p>
      <w:pPr>
        <w:pStyle w:val="21"/>
        <w:spacing w:line="480" w:lineRule="exact"/>
        <w:ind w:firstLine="442" w:firstLineChars="200"/>
        <w:rPr>
          <w:rFonts w:hAnsi="宋体"/>
          <w:b/>
          <w:bCs/>
          <w:sz w:val="22"/>
          <w:szCs w:val="22"/>
        </w:rPr>
      </w:pPr>
      <w:r>
        <w:rPr>
          <w:rFonts w:hint="eastAsia" w:hAnsi="宋体"/>
          <w:b/>
          <w:bCs/>
          <w:sz w:val="22"/>
          <w:szCs w:val="22"/>
        </w:rPr>
        <w:t>六.</w:t>
      </w:r>
      <w:r>
        <w:rPr>
          <w:rFonts w:hAnsi="宋体"/>
          <w:b/>
          <w:bCs/>
          <w:sz w:val="22"/>
          <w:szCs w:val="22"/>
        </w:rPr>
        <w:t>发布公告的媒介：</w:t>
      </w:r>
    </w:p>
    <w:p>
      <w:pPr>
        <w:spacing w:line="480" w:lineRule="exact"/>
        <w:ind w:firstLine="440" w:firstLineChars="200"/>
        <w:rPr>
          <w:rFonts w:ascii="宋体" w:hAnsi="宋体" w:eastAsia="宋体"/>
          <w:sz w:val="22"/>
          <w:szCs w:val="22"/>
        </w:rPr>
      </w:pPr>
      <w:r>
        <w:rPr>
          <w:rFonts w:ascii="宋体" w:hAnsi="宋体" w:eastAsia="宋体"/>
          <w:sz w:val="22"/>
          <w:szCs w:val="22"/>
        </w:rPr>
        <w:t>中国政府采购网(www.ccgp.gov.cn)，广东省政府采购网(www.gdgpo.gov.cn)。</w:t>
      </w:r>
    </w:p>
    <w:p>
      <w:pPr>
        <w:spacing w:line="480" w:lineRule="exact"/>
        <w:ind w:firstLine="442" w:firstLineChars="200"/>
        <w:rPr>
          <w:rFonts w:ascii="宋体" w:hAnsi="宋体" w:eastAsia="宋体"/>
          <w:b/>
          <w:bCs/>
          <w:sz w:val="22"/>
          <w:szCs w:val="22"/>
        </w:rPr>
      </w:pPr>
      <w:r>
        <w:rPr>
          <w:rFonts w:hint="eastAsia" w:ascii="宋体" w:hAnsi="宋体" w:eastAsia="宋体"/>
          <w:b/>
          <w:bCs/>
          <w:sz w:val="22"/>
          <w:szCs w:val="22"/>
        </w:rPr>
        <w:t>七、</w:t>
      </w:r>
      <w:r>
        <w:rPr>
          <w:rFonts w:ascii="宋体" w:hAnsi="宋体" w:eastAsia="宋体"/>
          <w:b/>
          <w:bCs/>
          <w:sz w:val="22"/>
          <w:szCs w:val="22"/>
        </w:rPr>
        <w:t>对本次</w:t>
      </w:r>
      <w:r>
        <w:rPr>
          <w:rFonts w:hint="eastAsia" w:ascii="宋体" w:hAnsi="宋体" w:eastAsia="宋体"/>
          <w:b/>
          <w:bCs/>
          <w:sz w:val="22"/>
          <w:szCs w:val="22"/>
        </w:rPr>
        <w:t>招标</w:t>
      </w:r>
      <w:r>
        <w:rPr>
          <w:rFonts w:ascii="宋体" w:hAnsi="宋体" w:eastAsia="宋体"/>
          <w:b/>
          <w:bCs/>
          <w:sz w:val="22"/>
          <w:szCs w:val="22"/>
        </w:rPr>
        <w:t>提出询问，请按以下方式联系</w:t>
      </w:r>
      <w:r>
        <w:rPr>
          <w:rFonts w:hint="eastAsia" w:ascii="宋体" w:hAnsi="宋体" w:eastAsia="宋体"/>
          <w:b/>
          <w:bCs/>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1.采购人信息</w:t>
      </w:r>
    </w:p>
    <w:p>
      <w:pPr>
        <w:spacing w:line="480" w:lineRule="exact"/>
        <w:ind w:firstLine="440" w:firstLineChars="200"/>
        <w:rPr>
          <w:rFonts w:ascii="宋体" w:hAnsi="宋体" w:eastAsia="宋体"/>
          <w:sz w:val="22"/>
          <w:szCs w:val="22"/>
        </w:rPr>
      </w:pPr>
      <w:r>
        <w:rPr>
          <w:rFonts w:ascii="宋体" w:hAnsi="宋体" w:eastAsia="宋体"/>
          <w:sz w:val="22"/>
          <w:szCs w:val="22"/>
        </w:rPr>
        <w:t>名称：东莞市中堂镇社区卫生服务中心</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东莞市中堂镇大新围</w:t>
      </w:r>
      <w:r>
        <w:rPr>
          <w:rFonts w:ascii="宋体" w:hAnsi="宋体" w:eastAsia="宋体"/>
          <w:sz w:val="22"/>
          <w:szCs w:val="22"/>
        </w:rPr>
        <w:t>路</w:t>
      </w:r>
    </w:p>
    <w:p>
      <w:pPr>
        <w:spacing w:line="480" w:lineRule="exact"/>
        <w:ind w:firstLine="440" w:firstLineChars="200"/>
        <w:rPr>
          <w:rFonts w:ascii="宋体" w:hAnsi="宋体" w:eastAsia="宋体"/>
          <w:sz w:val="22"/>
          <w:szCs w:val="22"/>
        </w:rPr>
      </w:pPr>
      <w:r>
        <w:rPr>
          <w:rFonts w:ascii="宋体" w:hAnsi="宋体" w:eastAsia="宋体"/>
          <w:sz w:val="22"/>
          <w:szCs w:val="22"/>
        </w:rPr>
        <w:t>联系方式：</w:t>
      </w:r>
      <w:r>
        <w:rPr>
          <w:rFonts w:hint="eastAsia" w:ascii="宋体" w:hAnsi="宋体" w:eastAsia="宋体"/>
          <w:sz w:val="22"/>
          <w:szCs w:val="22"/>
        </w:rPr>
        <w:t>0769-81163763</w:t>
      </w:r>
    </w:p>
    <w:p>
      <w:pPr>
        <w:spacing w:line="480" w:lineRule="exact"/>
        <w:ind w:firstLine="440" w:firstLineChars="200"/>
        <w:rPr>
          <w:rFonts w:ascii="宋体" w:hAnsi="宋体" w:eastAsia="宋体"/>
          <w:sz w:val="22"/>
          <w:szCs w:val="22"/>
        </w:rPr>
      </w:pPr>
      <w:r>
        <w:rPr>
          <w:rFonts w:ascii="宋体" w:hAnsi="宋体" w:eastAsia="宋体"/>
          <w:sz w:val="22"/>
          <w:szCs w:val="22"/>
        </w:rPr>
        <w:t>2.采购代理机构信息</w:t>
      </w:r>
    </w:p>
    <w:p>
      <w:pPr>
        <w:spacing w:line="480" w:lineRule="exact"/>
        <w:ind w:firstLine="440" w:firstLineChars="200"/>
        <w:rPr>
          <w:rFonts w:ascii="宋体" w:hAnsi="宋体" w:eastAsia="宋体"/>
          <w:sz w:val="22"/>
          <w:szCs w:val="22"/>
        </w:rPr>
      </w:pPr>
      <w:r>
        <w:rPr>
          <w:rFonts w:ascii="宋体" w:hAnsi="宋体" w:eastAsia="宋体"/>
          <w:sz w:val="22"/>
          <w:szCs w:val="22"/>
        </w:rPr>
        <w:t>名称：</w:t>
      </w:r>
      <w:r>
        <w:rPr>
          <w:rFonts w:hint="eastAsia" w:ascii="宋体" w:hAnsi="宋体" w:eastAsia="宋体"/>
          <w:sz w:val="22"/>
          <w:szCs w:val="22"/>
        </w:rPr>
        <w:t>东莞市中堂镇招投标服务所</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东莞市中堂镇新兴路98号人民政府城建大楼四层</w:t>
      </w:r>
    </w:p>
    <w:p>
      <w:pPr>
        <w:spacing w:line="480" w:lineRule="exact"/>
        <w:ind w:firstLine="440" w:firstLineChars="200"/>
        <w:rPr>
          <w:rFonts w:ascii="宋体" w:hAnsi="宋体" w:eastAsia="宋体"/>
          <w:sz w:val="22"/>
          <w:szCs w:val="22"/>
        </w:rPr>
      </w:pPr>
      <w:r>
        <w:rPr>
          <w:rFonts w:ascii="宋体" w:hAnsi="宋体" w:eastAsia="宋体"/>
          <w:sz w:val="22"/>
          <w:szCs w:val="22"/>
        </w:rPr>
        <w:t>联系方式：076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p>
    <w:p>
      <w:pPr>
        <w:spacing w:line="480" w:lineRule="exact"/>
        <w:ind w:firstLine="440" w:firstLineChars="200"/>
        <w:rPr>
          <w:rFonts w:ascii="宋体" w:hAnsi="宋体" w:eastAsia="宋体"/>
          <w:sz w:val="22"/>
          <w:szCs w:val="22"/>
        </w:rPr>
      </w:pPr>
      <w:r>
        <w:rPr>
          <w:rFonts w:ascii="宋体" w:hAnsi="宋体" w:eastAsia="宋体"/>
          <w:sz w:val="22"/>
          <w:szCs w:val="22"/>
        </w:rPr>
        <w:t>3.项目联系方式</w:t>
      </w:r>
    </w:p>
    <w:p>
      <w:pPr>
        <w:spacing w:line="480" w:lineRule="exact"/>
        <w:ind w:firstLine="440" w:firstLineChars="200"/>
        <w:rPr>
          <w:rFonts w:ascii="宋体" w:hAnsi="宋体" w:eastAsia="宋体"/>
          <w:sz w:val="22"/>
          <w:szCs w:val="22"/>
        </w:rPr>
      </w:pPr>
      <w:r>
        <w:rPr>
          <w:rFonts w:ascii="宋体" w:hAnsi="宋体" w:eastAsia="宋体"/>
          <w:sz w:val="22"/>
          <w:szCs w:val="22"/>
        </w:rPr>
        <w:t>项目联系人： 郭先生</w:t>
      </w:r>
      <w:r>
        <w:rPr>
          <w:rFonts w:hint="eastAsia" w:ascii="宋体" w:hAnsi="宋体" w:eastAsia="宋体"/>
          <w:sz w:val="22"/>
          <w:szCs w:val="22"/>
        </w:rPr>
        <w:t xml:space="preserve"> 陈先生 </w:t>
      </w:r>
      <w:r>
        <w:rPr>
          <w:rFonts w:ascii="宋体" w:hAnsi="宋体" w:eastAsia="宋体"/>
          <w:sz w:val="22"/>
          <w:szCs w:val="22"/>
        </w:rPr>
        <w:t>电话：076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p>
    <w:p>
      <w:pPr>
        <w:spacing w:line="480" w:lineRule="exact"/>
        <w:ind w:firstLine="440" w:firstLineChars="200"/>
        <w:rPr>
          <w:rFonts w:ascii="宋体" w:hAnsi="宋体" w:eastAsia="宋体"/>
          <w:sz w:val="22"/>
          <w:szCs w:val="22"/>
        </w:rPr>
      </w:pPr>
    </w:p>
    <w:p>
      <w:pPr>
        <w:pStyle w:val="2"/>
        <w:keepNext w:val="0"/>
        <w:keepLines w:val="0"/>
        <w:spacing w:before="0" w:after="0" w:line="276" w:lineRule="auto"/>
        <w:jc w:val="center"/>
        <w:rPr>
          <w:rFonts w:hAnsi="宋体"/>
          <w:sz w:val="36"/>
          <w:szCs w:val="28"/>
        </w:rPr>
      </w:pPr>
      <w:bookmarkStart w:id="10" w:name="_Toc51756450"/>
      <w:bookmarkStart w:id="11" w:name="_Toc52021497"/>
      <w:bookmarkStart w:id="12" w:name="_Toc52027884"/>
      <w:bookmarkStart w:id="13" w:name="_Toc51939415"/>
      <w:bookmarkStart w:id="14" w:name="_Toc56352967"/>
      <w:bookmarkStart w:id="15" w:name="_Toc486671526"/>
      <w:bookmarkStart w:id="16" w:name="_Toc476976154"/>
      <w:bookmarkStart w:id="17" w:name="_Toc458262591"/>
      <w:bookmarkStart w:id="18" w:name="_Toc467236722"/>
      <w:r>
        <w:rPr>
          <w:rFonts w:hAnsi="宋体"/>
          <w:sz w:val="36"/>
          <w:szCs w:val="28"/>
        </w:rPr>
        <w:br w:type="page"/>
      </w:r>
    </w:p>
    <w:p>
      <w:pPr>
        <w:pStyle w:val="2"/>
        <w:keepNext w:val="0"/>
        <w:keepLines w:val="0"/>
        <w:spacing w:before="0" w:after="0" w:line="276" w:lineRule="auto"/>
        <w:jc w:val="center"/>
        <w:rPr>
          <w:rFonts w:hAnsi="宋体"/>
          <w:sz w:val="36"/>
          <w:szCs w:val="28"/>
        </w:rPr>
      </w:pPr>
      <w:bookmarkStart w:id="19" w:name="_Toc67490473"/>
      <w:r>
        <w:rPr>
          <w:rFonts w:hint="eastAsia" w:hAnsi="宋体"/>
          <w:sz w:val="36"/>
          <w:szCs w:val="28"/>
        </w:rPr>
        <w:t>第二</w:t>
      </w:r>
      <w:bookmarkEnd w:id="10"/>
      <w:bookmarkEnd w:id="11"/>
      <w:bookmarkEnd w:id="12"/>
      <w:bookmarkEnd w:id="13"/>
      <w:bookmarkEnd w:id="14"/>
      <w:r>
        <w:rPr>
          <w:rFonts w:hint="eastAsia" w:hAnsi="宋体"/>
          <w:sz w:val="36"/>
          <w:szCs w:val="28"/>
        </w:rPr>
        <w:t xml:space="preserve">章  </w:t>
      </w:r>
      <w:bookmarkEnd w:id="15"/>
      <w:bookmarkEnd w:id="16"/>
      <w:bookmarkEnd w:id="17"/>
      <w:bookmarkEnd w:id="18"/>
      <w:r>
        <w:rPr>
          <w:rFonts w:hint="eastAsia" w:hAnsi="宋体"/>
          <w:sz w:val="36"/>
          <w:szCs w:val="28"/>
        </w:rPr>
        <w:t>用户需求</w:t>
      </w:r>
      <w:bookmarkEnd w:id="19"/>
      <w:bookmarkStart w:id="20" w:name="_Toc479991564"/>
      <w:bookmarkStart w:id="21" w:name="_Toc480010690"/>
      <w:bookmarkStart w:id="22" w:name="_Toc480171861"/>
      <w:bookmarkStart w:id="23" w:name="_Toc480020239"/>
      <w:bookmarkStart w:id="24" w:name="_Toc480021035"/>
      <w:bookmarkStart w:id="25" w:name="_Toc468606011"/>
      <w:bookmarkStart w:id="26" w:name="_Toc468157518"/>
    </w:p>
    <w:bookmarkEnd w:id="20"/>
    <w:bookmarkEnd w:id="21"/>
    <w:bookmarkEnd w:id="22"/>
    <w:bookmarkEnd w:id="23"/>
    <w:bookmarkEnd w:id="24"/>
    <w:bookmarkEnd w:id="25"/>
    <w:bookmarkEnd w:id="26"/>
    <w:p>
      <w:pPr>
        <w:spacing w:line="340" w:lineRule="exact"/>
        <w:rPr>
          <w:rFonts w:ascii="宋体" w:eastAsia="宋体" w:cs="宋体"/>
          <w:sz w:val="22"/>
          <w:szCs w:val="22"/>
        </w:rPr>
      </w:pPr>
      <w:bookmarkStart w:id="27" w:name="_Toc23944647"/>
      <w:bookmarkStart w:id="28" w:name="_Toc52021499"/>
      <w:bookmarkStart w:id="29" w:name="_Toc458262598"/>
      <w:bookmarkStart w:id="30" w:name="_Toc486671527"/>
      <w:bookmarkStart w:id="31" w:name="_Toc476976155"/>
      <w:bookmarkStart w:id="32" w:name="_Toc52027886"/>
      <w:bookmarkStart w:id="33" w:name="_Toc51756452"/>
      <w:bookmarkStart w:id="34" w:name="_Toc56352971"/>
      <w:bookmarkStart w:id="35" w:name="_Toc51939417"/>
      <w:bookmarkStart w:id="36" w:name="_Toc467236723"/>
      <w:r>
        <w:rPr>
          <w:rFonts w:ascii="宋体" w:eastAsia="宋体" w:cs="宋体"/>
          <w:sz w:val="22"/>
          <w:szCs w:val="22"/>
        </w:rPr>
        <w:t>一</w:t>
      </w:r>
      <w:r>
        <w:rPr>
          <w:rFonts w:hint="eastAsia" w:ascii="宋体" w:eastAsia="宋体" w:cs="宋体"/>
          <w:sz w:val="22"/>
          <w:szCs w:val="22"/>
        </w:rPr>
        <w:t xml:space="preserve">. </w:t>
      </w:r>
      <w:r>
        <w:rPr>
          <w:rFonts w:ascii="宋体" w:eastAsia="宋体" w:cs="宋体"/>
          <w:sz w:val="22"/>
          <w:szCs w:val="22"/>
        </w:rPr>
        <w:t>项目概况 ：</w:t>
      </w:r>
    </w:p>
    <w:p>
      <w:pPr>
        <w:spacing w:line="340" w:lineRule="exact"/>
        <w:ind w:firstLine="440" w:firstLineChars="200"/>
        <w:rPr>
          <w:rFonts w:ascii="宋体" w:eastAsia="宋体" w:cs="宋体"/>
          <w:sz w:val="22"/>
          <w:szCs w:val="22"/>
        </w:rPr>
      </w:pPr>
      <w:r>
        <w:rPr>
          <w:rFonts w:ascii="宋体" w:eastAsia="宋体" w:cs="宋体"/>
          <w:sz w:val="22"/>
          <w:szCs w:val="22"/>
        </w:rPr>
        <w:t>“</w:t>
      </w:r>
      <w:r>
        <w:rPr>
          <w:rFonts w:ascii="宋体" w:hAnsi="宋体" w:eastAsia="宋体" w:cs="宋体"/>
          <w:sz w:val="22"/>
          <w:szCs w:val="22"/>
        </w:rPr>
        <w:t>★</w:t>
      </w:r>
      <w:r>
        <w:rPr>
          <w:rFonts w:ascii="宋体" w:eastAsia="宋体" w:cs="宋体"/>
          <w:sz w:val="22"/>
          <w:szCs w:val="22"/>
        </w:rPr>
        <w:t>”号条款</w:t>
      </w:r>
    </w:p>
    <w:p>
      <w:pPr>
        <w:spacing w:line="340" w:lineRule="exact"/>
        <w:ind w:firstLine="440" w:firstLineChars="200"/>
        <w:rPr>
          <w:rFonts w:ascii="宋体" w:eastAsia="宋体" w:cs="宋体"/>
          <w:sz w:val="22"/>
          <w:szCs w:val="22"/>
        </w:rPr>
      </w:pPr>
      <w:r>
        <w:rPr>
          <w:rFonts w:ascii="宋体" w:eastAsia="宋体" w:cs="宋体"/>
          <w:sz w:val="22"/>
          <w:szCs w:val="22"/>
        </w:rPr>
        <w:t>《用户需求书》中标注有“</w:t>
      </w:r>
      <w:r>
        <w:rPr>
          <w:rFonts w:hint="eastAsia" w:ascii="宋体" w:hAnsi="宋体" w:eastAsia="宋体" w:cs="宋体"/>
          <w:sz w:val="22"/>
          <w:szCs w:val="22"/>
        </w:rPr>
        <w:t>★</w:t>
      </w:r>
      <w:r>
        <w:rPr>
          <w:rFonts w:eastAsia="宋体"/>
          <w:sz w:val="22"/>
          <w:szCs w:val="22"/>
        </w:rPr>
        <w:t>”</w:t>
      </w:r>
      <w:r>
        <w:rPr>
          <w:rFonts w:ascii="宋体" w:eastAsia="宋体" w:cs="宋体"/>
          <w:sz w:val="22"/>
          <w:szCs w:val="22"/>
        </w:rPr>
        <w:t>号的条款必须实质性响应，负偏离（不满足要求）将导致投标无效。</w:t>
      </w:r>
    </w:p>
    <w:p>
      <w:pPr>
        <w:spacing w:line="340" w:lineRule="exact"/>
        <w:ind w:firstLine="440" w:firstLineChars="200"/>
        <w:rPr>
          <w:rFonts w:ascii="宋体" w:eastAsia="宋体" w:cs="宋体"/>
          <w:color w:val="FF0000"/>
          <w:sz w:val="22"/>
          <w:szCs w:val="22"/>
        </w:rPr>
      </w:pPr>
      <w:r>
        <w:rPr>
          <w:rFonts w:ascii="宋体" w:eastAsia="宋体" w:cs="宋体"/>
          <w:color w:val="FF0000"/>
          <w:sz w:val="22"/>
          <w:szCs w:val="22"/>
        </w:rPr>
        <w:t>本</w:t>
      </w:r>
      <w:r>
        <w:rPr>
          <w:rFonts w:hint="eastAsia" w:ascii="宋体" w:eastAsia="宋体" w:cs="宋体"/>
          <w:color w:val="FF0000"/>
          <w:sz w:val="22"/>
          <w:szCs w:val="22"/>
        </w:rPr>
        <w:t>项目</w:t>
      </w:r>
      <w:r>
        <w:rPr>
          <w:rFonts w:ascii="宋体" w:eastAsia="宋体" w:cs="宋体"/>
          <w:color w:val="FF0000"/>
          <w:sz w:val="22"/>
          <w:szCs w:val="22"/>
        </w:rPr>
        <w:t>核心产品：</w:t>
      </w:r>
      <w:r>
        <w:rPr>
          <w:rFonts w:hint="eastAsia" w:ascii="宋体" w:hAnsi="宋体" w:eastAsia="宋体"/>
          <w:sz w:val="22"/>
          <w:szCs w:val="22"/>
        </w:rPr>
        <w:t>●双目视力筛查仪</w:t>
      </w:r>
      <w:r>
        <w:rPr>
          <w:rFonts w:ascii="宋体" w:eastAsia="宋体" w:cs="宋体"/>
          <w:color w:val="FF0000"/>
          <w:sz w:val="22"/>
          <w:szCs w:val="22"/>
        </w:rPr>
        <w:t>（核心产品须在详细报价中备注品牌，无品牌备注，视为报价文件无效）</w:t>
      </w:r>
    </w:p>
    <w:p>
      <w:pPr>
        <w:spacing w:line="480" w:lineRule="exact"/>
        <w:rPr>
          <w:rFonts w:ascii="宋体" w:hAnsi="宋体" w:eastAsia="宋体"/>
          <w:sz w:val="22"/>
          <w:szCs w:val="22"/>
        </w:rPr>
      </w:pPr>
      <w:r>
        <w:rPr>
          <w:rFonts w:hint="eastAsia" w:ascii="宋体" w:hAnsi="宋体" w:eastAsia="宋体"/>
          <w:sz w:val="22"/>
          <w:szCs w:val="22"/>
        </w:rPr>
        <w:t>二、</w:t>
      </w:r>
      <w:r>
        <w:rPr>
          <w:rFonts w:ascii="宋体" w:hAnsi="宋体" w:eastAsia="宋体"/>
          <w:sz w:val="22"/>
          <w:szCs w:val="22"/>
        </w:rPr>
        <w:t>主要商务要求</w:t>
      </w:r>
    </w:p>
    <w:tbl>
      <w:tblPr>
        <w:tblStyle w:val="43"/>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134"/>
        <w:gridCol w:w="7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10" w:type="dxa"/>
            <w:vAlign w:val="center"/>
          </w:tcPr>
          <w:p>
            <w:pPr>
              <w:spacing w:line="480" w:lineRule="exact"/>
              <w:jc w:val="center"/>
              <w:rPr>
                <w:rFonts w:ascii="宋体" w:hAnsi="宋体" w:eastAsia="宋体"/>
                <w:sz w:val="22"/>
                <w:szCs w:val="22"/>
              </w:rPr>
            </w:pPr>
            <w:r>
              <w:rPr>
                <w:rFonts w:hint="eastAsia" w:ascii="宋体" w:hAnsi="宋体" w:eastAsia="宋体"/>
                <w:sz w:val="22"/>
                <w:szCs w:val="22"/>
              </w:rPr>
              <w:t>序号</w:t>
            </w:r>
          </w:p>
        </w:tc>
        <w:tc>
          <w:tcPr>
            <w:tcW w:w="1134" w:type="dxa"/>
            <w:vAlign w:val="center"/>
          </w:tcPr>
          <w:p>
            <w:pPr>
              <w:spacing w:line="480" w:lineRule="exact"/>
              <w:jc w:val="center"/>
              <w:rPr>
                <w:rFonts w:ascii="宋体" w:hAnsi="宋体" w:eastAsia="宋体"/>
                <w:sz w:val="22"/>
                <w:szCs w:val="22"/>
              </w:rPr>
            </w:pPr>
            <w:r>
              <w:rPr>
                <w:rFonts w:hint="eastAsia" w:ascii="宋体" w:hAnsi="宋体" w:eastAsia="宋体"/>
                <w:sz w:val="22"/>
                <w:szCs w:val="22"/>
              </w:rPr>
              <w:t>条款名称</w:t>
            </w:r>
          </w:p>
        </w:tc>
        <w:tc>
          <w:tcPr>
            <w:tcW w:w="7938" w:type="dxa"/>
            <w:vAlign w:val="center"/>
          </w:tcPr>
          <w:p>
            <w:pPr>
              <w:spacing w:line="480" w:lineRule="exact"/>
              <w:ind w:firstLine="440" w:firstLineChars="200"/>
              <w:jc w:val="center"/>
              <w:rPr>
                <w:rFonts w:ascii="宋体" w:hAnsi="宋体" w:eastAsia="宋体"/>
                <w:sz w:val="22"/>
                <w:szCs w:val="22"/>
              </w:rPr>
            </w:pPr>
            <w:r>
              <w:rPr>
                <w:rFonts w:hint="eastAsia" w:ascii="宋体" w:hAnsi="宋体" w:eastAsia="宋体"/>
                <w:sz w:val="22"/>
                <w:szCs w:val="22"/>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1</w:t>
            </w:r>
          </w:p>
        </w:tc>
        <w:tc>
          <w:tcPr>
            <w:tcW w:w="1134" w:type="dxa"/>
            <w:vAlign w:val="center"/>
          </w:tcPr>
          <w:p>
            <w:pPr>
              <w:spacing w:line="480" w:lineRule="exact"/>
              <w:rPr>
                <w:rFonts w:ascii="宋体" w:hAnsi="宋体" w:eastAsia="宋体"/>
                <w:sz w:val="22"/>
                <w:szCs w:val="22"/>
              </w:rPr>
            </w:pPr>
            <w:r>
              <w:rPr>
                <w:rFonts w:ascii="宋体" w:hAnsi="宋体" w:eastAsia="宋体" w:cs="宋体"/>
                <w:sz w:val="22"/>
                <w:szCs w:val="22"/>
              </w:rPr>
              <w:t>★</w:t>
            </w:r>
            <w:r>
              <w:rPr>
                <w:rFonts w:ascii="宋体" w:hAnsi="宋体" w:eastAsia="宋体"/>
                <w:sz w:val="22"/>
                <w:szCs w:val="22"/>
              </w:rPr>
              <w:t>标的提供的时间</w:t>
            </w:r>
          </w:p>
        </w:tc>
        <w:tc>
          <w:tcPr>
            <w:tcW w:w="7938" w:type="dxa"/>
            <w:vAlign w:val="center"/>
          </w:tcPr>
          <w:p>
            <w:pPr>
              <w:spacing w:line="480" w:lineRule="exact"/>
              <w:rPr>
                <w:rFonts w:ascii="宋体" w:hAnsi="宋体" w:eastAsia="宋体"/>
                <w:sz w:val="22"/>
                <w:szCs w:val="22"/>
              </w:rPr>
            </w:pPr>
            <w:r>
              <w:rPr>
                <w:rFonts w:ascii="宋体" w:eastAsia="宋体" w:cs="宋体"/>
                <w:sz w:val="22"/>
                <w:szCs w:val="22"/>
              </w:rPr>
              <w:t>自合同生效之日起</w:t>
            </w:r>
            <w:r>
              <w:rPr>
                <w:rFonts w:hint="eastAsia" w:ascii="宋体" w:eastAsia="宋体" w:cs="宋体"/>
                <w:sz w:val="22"/>
                <w:szCs w:val="22"/>
              </w:rPr>
              <w:t>30</w:t>
            </w:r>
            <w:r>
              <w:rPr>
                <w:rFonts w:ascii="宋体" w:eastAsia="宋体" w:cs="宋体"/>
                <w:sz w:val="22"/>
                <w:szCs w:val="22"/>
              </w:rPr>
              <w:t>个日历日完成供货、安装、调试</w:t>
            </w:r>
            <w:r>
              <w:rPr>
                <w:rFonts w:hint="eastAsia" w:ascii="宋体" w:hAnsi="宋体" w:eastAsia="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2</w:t>
            </w:r>
          </w:p>
        </w:tc>
        <w:tc>
          <w:tcPr>
            <w:tcW w:w="1134" w:type="dxa"/>
            <w:vAlign w:val="center"/>
          </w:tcPr>
          <w:p>
            <w:pPr>
              <w:spacing w:line="480" w:lineRule="exact"/>
              <w:rPr>
                <w:rFonts w:ascii="宋体" w:hAnsi="宋体" w:eastAsia="宋体"/>
                <w:sz w:val="22"/>
                <w:szCs w:val="22"/>
              </w:rPr>
            </w:pPr>
            <w:r>
              <w:rPr>
                <w:rFonts w:ascii="宋体" w:hAnsi="宋体" w:eastAsia="宋体"/>
                <w:sz w:val="22"/>
                <w:szCs w:val="22"/>
              </w:rPr>
              <w:t>标的提供的</w:t>
            </w:r>
            <w:r>
              <w:rPr>
                <w:rFonts w:hint="eastAsia" w:ascii="宋体" w:hAnsi="宋体" w:eastAsia="宋体"/>
                <w:sz w:val="22"/>
                <w:szCs w:val="22"/>
              </w:rPr>
              <w:t>地点</w:t>
            </w:r>
          </w:p>
        </w:tc>
        <w:tc>
          <w:tcPr>
            <w:tcW w:w="7938" w:type="dxa"/>
            <w:vAlign w:val="center"/>
          </w:tcPr>
          <w:p>
            <w:pPr>
              <w:spacing w:line="480" w:lineRule="exact"/>
              <w:rPr>
                <w:rFonts w:ascii="宋体" w:hAnsi="宋体" w:eastAsia="宋体"/>
                <w:sz w:val="22"/>
                <w:szCs w:val="22"/>
              </w:rPr>
            </w:pPr>
            <w:r>
              <w:rPr>
                <w:rFonts w:hint="eastAsia" w:ascii="宋体" w:hAnsi="宋体" w:eastAsia="宋体"/>
                <w:sz w:val="22"/>
                <w:szCs w:val="22"/>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3</w:t>
            </w:r>
          </w:p>
        </w:tc>
        <w:tc>
          <w:tcPr>
            <w:tcW w:w="1134" w:type="dxa"/>
            <w:vAlign w:val="center"/>
          </w:tcPr>
          <w:p>
            <w:pPr>
              <w:spacing w:line="480" w:lineRule="exact"/>
              <w:rPr>
                <w:rFonts w:ascii="宋体" w:hAnsi="宋体" w:eastAsia="宋体"/>
                <w:sz w:val="22"/>
                <w:szCs w:val="22"/>
              </w:rPr>
            </w:pPr>
            <w:r>
              <w:rPr>
                <w:rFonts w:hint="eastAsia" w:ascii="宋体" w:hAnsi="宋体" w:eastAsia="宋体"/>
                <w:sz w:val="22"/>
                <w:szCs w:val="22"/>
              </w:rPr>
              <w:t>质保期</w:t>
            </w:r>
          </w:p>
        </w:tc>
        <w:tc>
          <w:tcPr>
            <w:tcW w:w="7938" w:type="dxa"/>
            <w:vAlign w:val="center"/>
          </w:tcPr>
          <w:p>
            <w:pPr>
              <w:spacing w:line="480" w:lineRule="exact"/>
              <w:rPr>
                <w:rFonts w:ascii="宋体" w:hAnsi="宋体" w:eastAsia="宋体"/>
                <w:sz w:val="22"/>
                <w:szCs w:val="22"/>
              </w:rPr>
            </w:pPr>
            <w:r>
              <w:rPr>
                <w:rFonts w:hint="eastAsia" w:ascii="宋体" w:hAnsi="宋体" w:eastAsia="宋体"/>
                <w:sz w:val="22"/>
                <w:szCs w:val="22"/>
              </w:rPr>
              <w:t>质保期为不少于</w:t>
            </w:r>
            <w:r>
              <w:rPr>
                <w:rFonts w:ascii="宋体" w:hAnsi="宋体" w:eastAsia="宋体"/>
                <w:sz w:val="22"/>
                <w:szCs w:val="22"/>
              </w:rPr>
              <w:t xml:space="preserve">1 </w:t>
            </w:r>
            <w:r>
              <w:rPr>
                <w:rFonts w:hint="eastAsia" w:ascii="宋体" w:hAnsi="宋体" w:eastAsia="宋体"/>
                <w:sz w:val="22"/>
                <w:szCs w:val="22"/>
              </w:rPr>
              <w:t>年（产品有特殊要求的按实际需求执行），质保期自验收之日起计算，质保期内成交人对所供货物实行包修、包换、包退、包维护保养。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4</w:t>
            </w:r>
          </w:p>
        </w:tc>
        <w:tc>
          <w:tcPr>
            <w:tcW w:w="1134" w:type="dxa"/>
            <w:vAlign w:val="center"/>
          </w:tcPr>
          <w:p>
            <w:pPr>
              <w:spacing w:line="480" w:lineRule="exact"/>
              <w:rPr>
                <w:rFonts w:ascii="宋体" w:hAnsi="宋体" w:eastAsia="宋体"/>
                <w:sz w:val="22"/>
                <w:szCs w:val="22"/>
              </w:rPr>
            </w:pPr>
            <w:r>
              <w:rPr>
                <w:rFonts w:hint="eastAsia" w:ascii="宋体" w:hAnsi="宋体" w:eastAsia="宋体"/>
                <w:sz w:val="22"/>
                <w:szCs w:val="22"/>
              </w:rPr>
              <w:t>付款方法和条件</w:t>
            </w:r>
          </w:p>
        </w:tc>
        <w:tc>
          <w:tcPr>
            <w:tcW w:w="7938" w:type="dxa"/>
            <w:vAlign w:val="center"/>
          </w:tcPr>
          <w:p>
            <w:pPr>
              <w:spacing w:line="480" w:lineRule="exact"/>
              <w:rPr>
                <w:rFonts w:ascii="宋体" w:hAnsi="宋体" w:eastAsia="宋体"/>
                <w:sz w:val="22"/>
                <w:szCs w:val="22"/>
              </w:rPr>
            </w:pPr>
            <w:r>
              <w:rPr>
                <w:rFonts w:hint="eastAsia" w:ascii="宋体" w:hAnsi="宋体" w:eastAsia="宋体"/>
                <w:sz w:val="22"/>
                <w:szCs w:val="22"/>
              </w:rPr>
              <w:t>1、中标人将货物运达采购人指定的地点且安装、调试完毕，经采购人验收合格、办理完全部验收手续后，采购人在22个工作日内向中标人支付合同总价的95%。</w:t>
            </w:r>
          </w:p>
          <w:p>
            <w:pPr>
              <w:spacing w:line="480" w:lineRule="exact"/>
              <w:rPr>
                <w:rFonts w:ascii="宋体" w:hAnsi="宋体" w:eastAsia="宋体"/>
                <w:sz w:val="22"/>
                <w:szCs w:val="22"/>
              </w:rPr>
            </w:pPr>
            <w:r>
              <w:rPr>
                <w:rFonts w:hint="eastAsia" w:ascii="宋体" w:hAnsi="宋体" w:eastAsia="宋体"/>
                <w:sz w:val="22"/>
                <w:szCs w:val="22"/>
              </w:rPr>
              <w:t>2、剩余合同总价的5%待质保期到期后22个工作日内无息退还给中标人。</w:t>
            </w:r>
          </w:p>
          <w:p>
            <w:pPr>
              <w:spacing w:line="480" w:lineRule="exact"/>
              <w:rPr>
                <w:rFonts w:ascii="宋体" w:hAnsi="宋体" w:eastAsia="宋体"/>
                <w:sz w:val="22"/>
                <w:szCs w:val="22"/>
              </w:rPr>
            </w:pPr>
            <w:r>
              <w:rPr>
                <w:rFonts w:hint="eastAsia" w:ascii="宋体" w:hAnsi="宋体" w:eastAsia="宋体"/>
                <w:sz w:val="22"/>
                <w:szCs w:val="22"/>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5</w:t>
            </w:r>
          </w:p>
        </w:tc>
        <w:tc>
          <w:tcPr>
            <w:tcW w:w="1134" w:type="dxa"/>
            <w:vAlign w:val="center"/>
          </w:tcPr>
          <w:p>
            <w:pPr>
              <w:spacing w:line="480" w:lineRule="exact"/>
              <w:rPr>
                <w:rFonts w:ascii="宋体" w:hAnsi="宋体" w:eastAsia="宋体"/>
                <w:sz w:val="22"/>
                <w:szCs w:val="22"/>
              </w:rPr>
            </w:pPr>
            <w:r>
              <w:rPr>
                <w:rFonts w:hint="eastAsia" w:ascii="宋体" w:hAnsi="宋体" w:eastAsia="宋体"/>
                <w:sz w:val="22"/>
                <w:szCs w:val="22"/>
              </w:rPr>
              <w:t>报价</w:t>
            </w:r>
          </w:p>
        </w:tc>
        <w:tc>
          <w:tcPr>
            <w:tcW w:w="7938" w:type="dxa"/>
            <w:vAlign w:val="center"/>
          </w:tcPr>
          <w:p>
            <w:pPr>
              <w:spacing w:line="480" w:lineRule="exact"/>
              <w:rPr>
                <w:rFonts w:ascii="宋体" w:hAnsi="宋体" w:eastAsia="宋体"/>
                <w:sz w:val="22"/>
                <w:szCs w:val="22"/>
              </w:rPr>
            </w:pPr>
            <w:r>
              <w:rPr>
                <w:rFonts w:hint="eastAsia" w:ascii="宋体" w:hAnsi="宋体" w:eastAsia="宋体"/>
                <w:sz w:val="22"/>
                <w:szCs w:val="22"/>
              </w:rPr>
              <w:t>供应商应对设备清单的所有设备和材料进行报价，报价应包含设备价款以及相关的安装调试、验收、培训、质保期内售后服务费、各项税费及合同实施过程中不可预见费用等。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6</w:t>
            </w:r>
          </w:p>
        </w:tc>
        <w:tc>
          <w:tcPr>
            <w:tcW w:w="1134" w:type="dxa"/>
            <w:vAlign w:val="center"/>
          </w:tcPr>
          <w:p>
            <w:pPr>
              <w:spacing w:line="480" w:lineRule="exact"/>
              <w:rPr>
                <w:rFonts w:ascii="宋体" w:hAnsi="宋体" w:eastAsia="宋体"/>
                <w:sz w:val="22"/>
                <w:szCs w:val="22"/>
              </w:rPr>
            </w:pPr>
            <w:r>
              <w:rPr>
                <w:rFonts w:hint="eastAsia" w:ascii="宋体" w:hAnsi="宋体" w:eastAsia="宋体"/>
                <w:sz w:val="22"/>
                <w:szCs w:val="22"/>
              </w:rPr>
              <w:t>现场踏勘和开标前答疑会</w:t>
            </w:r>
          </w:p>
        </w:tc>
        <w:tc>
          <w:tcPr>
            <w:tcW w:w="7938" w:type="dxa"/>
            <w:vAlign w:val="center"/>
          </w:tcPr>
          <w:p>
            <w:pPr>
              <w:spacing w:line="480" w:lineRule="exact"/>
              <w:rPr>
                <w:rFonts w:ascii="宋体" w:hAnsi="宋体" w:eastAsia="宋体"/>
                <w:sz w:val="22"/>
                <w:szCs w:val="22"/>
              </w:rPr>
            </w:pPr>
            <w:r>
              <w:rPr>
                <w:rFonts w:hint="eastAsia" w:ascii="宋体" w:hAnsi="宋体" w:eastAsia="宋体"/>
                <w:sz w:val="22"/>
                <w:szCs w:val="22"/>
              </w:rPr>
              <w:t>本项目不举行现场踏勘和开标前答疑会。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710" w:type="dxa"/>
            <w:vAlign w:val="center"/>
          </w:tcPr>
          <w:p>
            <w:pPr>
              <w:spacing w:line="480" w:lineRule="exact"/>
              <w:rPr>
                <w:rFonts w:ascii="宋体" w:hAnsi="宋体" w:eastAsia="宋体"/>
                <w:sz w:val="22"/>
                <w:szCs w:val="22"/>
              </w:rPr>
            </w:pPr>
            <w:r>
              <w:rPr>
                <w:rFonts w:hint="eastAsia" w:ascii="宋体" w:hAnsi="宋体" w:eastAsia="宋体"/>
                <w:sz w:val="22"/>
                <w:szCs w:val="22"/>
              </w:rPr>
              <w:t>7</w:t>
            </w:r>
          </w:p>
        </w:tc>
        <w:tc>
          <w:tcPr>
            <w:tcW w:w="1134" w:type="dxa"/>
            <w:vAlign w:val="center"/>
          </w:tcPr>
          <w:p>
            <w:pPr>
              <w:spacing w:line="480" w:lineRule="exact"/>
              <w:rPr>
                <w:rFonts w:ascii="宋体" w:hAnsi="宋体" w:eastAsia="宋体"/>
                <w:sz w:val="22"/>
                <w:szCs w:val="22"/>
              </w:rPr>
            </w:pPr>
            <w:r>
              <w:rPr>
                <w:rFonts w:hint="eastAsia" w:ascii="宋体" w:hAnsi="宋体" w:eastAsia="宋体"/>
                <w:sz w:val="22"/>
                <w:szCs w:val="22"/>
              </w:rPr>
              <w:t>合同条款</w:t>
            </w:r>
          </w:p>
        </w:tc>
        <w:tc>
          <w:tcPr>
            <w:tcW w:w="7938" w:type="dxa"/>
            <w:vAlign w:val="center"/>
          </w:tcPr>
          <w:p>
            <w:pPr>
              <w:spacing w:line="480" w:lineRule="exact"/>
              <w:rPr>
                <w:rFonts w:ascii="宋体" w:hAnsi="宋体" w:eastAsia="宋体"/>
                <w:sz w:val="22"/>
                <w:szCs w:val="22"/>
              </w:rPr>
            </w:pPr>
            <w:r>
              <w:rPr>
                <w:rFonts w:hint="eastAsia" w:ascii="宋体" w:hAnsi="宋体" w:eastAsia="宋体"/>
                <w:sz w:val="22"/>
                <w:szCs w:val="22"/>
              </w:rPr>
              <w:t>供应商实质响应合同条款。</w:t>
            </w:r>
          </w:p>
        </w:tc>
      </w:tr>
    </w:tbl>
    <w:p>
      <w:pPr>
        <w:spacing w:line="480" w:lineRule="exact"/>
        <w:rPr>
          <w:rFonts w:ascii="宋体" w:hAnsi="宋体" w:eastAsia="宋体"/>
          <w:sz w:val="22"/>
          <w:szCs w:val="22"/>
        </w:rPr>
      </w:pPr>
      <w:r>
        <w:rPr>
          <w:rFonts w:hint="eastAsia" w:ascii="宋体" w:hAnsi="宋体" w:eastAsia="宋体"/>
          <w:sz w:val="22"/>
          <w:szCs w:val="22"/>
        </w:rPr>
        <w:t>三、货物清单及</w:t>
      </w:r>
      <w:r>
        <w:rPr>
          <w:rFonts w:ascii="宋体" w:hAnsi="宋体" w:eastAsia="宋体"/>
          <w:sz w:val="22"/>
          <w:szCs w:val="22"/>
        </w:rPr>
        <w:t>技术标准</w:t>
      </w:r>
    </w:p>
    <w:tbl>
      <w:tblPr>
        <w:tblStyle w:val="43"/>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7"/>
        <w:gridCol w:w="573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exact"/>
          <w:tblHeader/>
          <w:jc w:val="center"/>
        </w:trPr>
        <w:tc>
          <w:tcPr>
            <w:tcW w:w="1667" w:type="dxa"/>
            <w:shd w:val="clear" w:color="auto" w:fill="D9D9D9"/>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序号</w:t>
            </w:r>
          </w:p>
        </w:tc>
        <w:tc>
          <w:tcPr>
            <w:tcW w:w="5730" w:type="dxa"/>
            <w:shd w:val="clear" w:color="auto" w:fill="D9D9D9"/>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名称</w:t>
            </w:r>
          </w:p>
        </w:tc>
        <w:tc>
          <w:tcPr>
            <w:tcW w:w="1227" w:type="dxa"/>
            <w:shd w:val="clear" w:color="auto" w:fill="D9D9D9"/>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667" w:type="dxa"/>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1</w:t>
            </w:r>
          </w:p>
        </w:tc>
        <w:tc>
          <w:tcPr>
            <w:tcW w:w="5730" w:type="dxa"/>
            <w:vAlign w:val="center"/>
          </w:tcPr>
          <w:p>
            <w:pPr>
              <w:pStyle w:val="35"/>
              <w:spacing w:line="400" w:lineRule="exact"/>
              <w:ind w:left="0" w:leftChars="0" w:right="-154" w:firstLine="330" w:firstLineChars="150"/>
              <w:rPr>
                <w:rFonts w:ascii="宋体" w:hAnsi="宋体" w:eastAsia="宋体"/>
                <w:sz w:val="22"/>
                <w:szCs w:val="22"/>
              </w:rPr>
            </w:pPr>
            <w:r>
              <w:rPr>
                <w:rFonts w:hint="eastAsia" w:ascii="宋体" w:hAnsi="宋体" w:eastAsia="宋体"/>
                <w:sz w:val="22"/>
                <w:szCs w:val="22"/>
              </w:rPr>
              <w:t>●双目视力筛查仪</w:t>
            </w:r>
          </w:p>
          <w:p>
            <w:pPr>
              <w:spacing w:line="360" w:lineRule="auto"/>
              <w:ind w:firstLine="330" w:firstLineChars="150"/>
              <w:rPr>
                <w:rFonts w:ascii="宋体" w:hAnsi="宋体" w:eastAsia="宋体"/>
                <w:sz w:val="22"/>
                <w:szCs w:val="22"/>
              </w:rPr>
            </w:pPr>
          </w:p>
        </w:tc>
        <w:tc>
          <w:tcPr>
            <w:tcW w:w="1227" w:type="dxa"/>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exact"/>
          <w:jc w:val="center"/>
        </w:trPr>
        <w:tc>
          <w:tcPr>
            <w:tcW w:w="1667" w:type="dxa"/>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2</w:t>
            </w:r>
          </w:p>
        </w:tc>
        <w:tc>
          <w:tcPr>
            <w:tcW w:w="5730" w:type="dxa"/>
            <w:vAlign w:val="center"/>
          </w:tcPr>
          <w:p>
            <w:pPr>
              <w:pStyle w:val="35"/>
              <w:spacing w:line="400" w:lineRule="exact"/>
              <w:ind w:left="0" w:leftChars="0" w:right="-154" w:firstLine="330" w:firstLineChars="150"/>
              <w:rPr>
                <w:rFonts w:ascii="宋体" w:hAnsi="宋体" w:eastAsia="宋体"/>
                <w:sz w:val="22"/>
                <w:szCs w:val="22"/>
              </w:rPr>
            </w:pPr>
            <w:r>
              <w:rPr>
                <w:rFonts w:hint="eastAsia" w:ascii="宋体" w:hAnsi="宋体" w:eastAsia="宋体"/>
                <w:sz w:val="22"/>
                <w:szCs w:val="22"/>
              </w:rPr>
              <w:t>身高体重测量仪</w:t>
            </w:r>
          </w:p>
        </w:tc>
        <w:tc>
          <w:tcPr>
            <w:tcW w:w="1227" w:type="dxa"/>
            <w:vAlign w:val="center"/>
          </w:tcPr>
          <w:p>
            <w:pPr>
              <w:spacing w:line="360" w:lineRule="auto"/>
              <w:ind w:firstLine="330" w:firstLineChars="150"/>
              <w:rPr>
                <w:rFonts w:ascii="宋体" w:hAnsi="宋体" w:eastAsia="宋体"/>
                <w:sz w:val="22"/>
                <w:szCs w:val="22"/>
              </w:rPr>
            </w:pPr>
            <w:r>
              <w:rPr>
                <w:rFonts w:hint="eastAsia" w:ascii="宋体" w:hAnsi="宋体" w:eastAsia="宋体"/>
                <w:sz w:val="22"/>
                <w:szCs w:val="22"/>
              </w:rPr>
              <w:t>11</w:t>
            </w:r>
          </w:p>
        </w:tc>
      </w:tr>
    </w:tbl>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一）、双目视力筛查仪技术参数：</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1、产品</w:t>
      </w:r>
      <w:r>
        <w:rPr>
          <w:rFonts w:asciiTheme="majorEastAsia" w:hAnsiTheme="majorEastAsia" w:eastAsiaTheme="majorEastAsia"/>
          <w:bCs/>
          <w:sz w:val="22"/>
          <w:szCs w:val="22"/>
        </w:rPr>
        <w:t>名称：视力筛选</w:t>
      </w:r>
      <w:r>
        <w:rPr>
          <w:rFonts w:hint="eastAsia" w:asciiTheme="majorEastAsia" w:hAnsiTheme="majorEastAsia" w:eastAsiaTheme="majorEastAsia"/>
          <w:bCs/>
          <w:sz w:val="22"/>
          <w:szCs w:val="22"/>
        </w:rPr>
        <w:t>仪</w:t>
      </w:r>
      <w:r>
        <w:rPr>
          <w:rFonts w:asciiTheme="majorEastAsia" w:hAnsiTheme="majorEastAsia" w:eastAsiaTheme="majorEastAsia"/>
          <w:bCs/>
          <w:sz w:val="22"/>
          <w:szCs w:val="22"/>
        </w:rPr>
        <w:t>或者视力筛查仪</w:t>
      </w:r>
      <w:r>
        <w:rPr>
          <w:rFonts w:hint="eastAsia" w:asciiTheme="majorEastAsia" w:hAnsiTheme="majorEastAsia" w:eastAsiaTheme="majorEastAsia"/>
          <w:bCs/>
          <w:sz w:val="22"/>
          <w:szCs w:val="22"/>
        </w:rPr>
        <w:t>,以医疗器械注册</w:t>
      </w:r>
      <w:r>
        <w:rPr>
          <w:rFonts w:asciiTheme="majorEastAsia" w:hAnsiTheme="majorEastAsia" w:eastAsiaTheme="majorEastAsia"/>
          <w:bCs/>
          <w:sz w:val="22"/>
          <w:szCs w:val="22"/>
        </w:rPr>
        <w:t>证上产品名称为依据</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2、无线手持式双目设计，可筛查单眼/双眼，可直接在主机上中文输入病人信息，如ID、姓名、性别、出生日期/年龄和眼睛处方。</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3、眼睛处方选择：裸眼、</w:t>
      </w:r>
      <w:r>
        <w:rPr>
          <w:rFonts w:asciiTheme="majorEastAsia" w:hAnsiTheme="majorEastAsia" w:eastAsiaTheme="majorEastAsia"/>
          <w:bCs/>
          <w:sz w:val="22"/>
          <w:szCs w:val="22"/>
        </w:rPr>
        <w:t>框架眼镜、</w:t>
      </w:r>
      <w:r>
        <w:rPr>
          <w:rFonts w:hint="eastAsia" w:asciiTheme="majorEastAsia" w:hAnsiTheme="majorEastAsia" w:eastAsiaTheme="majorEastAsia"/>
          <w:bCs/>
          <w:sz w:val="22"/>
          <w:szCs w:val="22"/>
        </w:rPr>
        <w:t>隐形眼</w:t>
      </w:r>
      <w:r>
        <w:rPr>
          <w:rFonts w:asciiTheme="majorEastAsia" w:hAnsiTheme="majorEastAsia" w:eastAsiaTheme="majorEastAsia"/>
          <w:bCs/>
          <w:sz w:val="22"/>
          <w:szCs w:val="22"/>
        </w:rPr>
        <w:t>镜模式</w:t>
      </w:r>
      <w:r>
        <w:rPr>
          <w:rFonts w:hint="eastAsia" w:asciiTheme="majorEastAsia" w:hAnsiTheme="majorEastAsia" w:eastAsiaTheme="majorEastAsia"/>
          <w:bCs/>
          <w:sz w:val="22"/>
          <w:szCs w:val="22"/>
        </w:rPr>
        <w:t>，并在不同模式下保存相应结果。</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4、</w:t>
      </w: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5.0英寸</w:t>
      </w:r>
      <w:r>
        <w:rPr>
          <w:rFonts w:asciiTheme="majorEastAsia" w:hAnsiTheme="majorEastAsia" w:eastAsiaTheme="majorEastAsia"/>
          <w:bCs/>
          <w:sz w:val="22"/>
          <w:szCs w:val="22"/>
        </w:rPr>
        <w:t>彩色触摸</w:t>
      </w:r>
      <w:r>
        <w:rPr>
          <w:rFonts w:hint="eastAsia" w:asciiTheme="majorEastAsia" w:hAnsiTheme="majorEastAsia" w:eastAsiaTheme="majorEastAsia"/>
          <w:bCs/>
          <w:sz w:val="22"/>
          <w:szCs w:val="22"/>
        </w:rPr>
        <w:t>显示屏，显示屏分辨率</w:t>
      </w: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800</w:t>
      </w:r>
      <w:r>
        <w:rPr>
          <w:rFonts w:asciiTheme="majorEastAsia" w:hAnsiTheme="majorEastAsia" w:eastAsiaTheme="majorEastAsia"/>
          <w:bCs/>
          <w:sz w:val="22"/>
          <w:szCs w:val="22"/>
        </w:rPr>
        <w:t xml:space="preserve"> ×</w:t>
      </w:r>
      <w:r>
        <w:rPr>
          <w:rFonts w:hint="eastAsia" w:asciiTheme="majorEastAsia" w:hAnsiTheme="majorEastAsia" w:eastAsiaTheme="majorEastAsia"/>
          <w:bCs/>
          <w:sz w:val="22"/>
          <w:szCs w:val="22"/>
        </w:rPr>
        <w:t xml:space="preserve"> 480 像素，前倾显示屏与水平夹角≤45°，方便使用者以任何姿势操作。</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5、筛查内容：屈光筛查、斜视、瞳孔大小及瞳距、矫正视力（框架眼镜和隐形眼镜的矫正视力）、屈光参差、瞳孔大小不等、凝视不对称。</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6、</w:t>
      </w:r>
      <w:r>
        <w:rPr>
          <w:rFonts w:asciiTheme="majorEastAsia" w:hAnsiTheme="majorEastAsia" w:eastAsiaTheme="majorEastAsia"/>
          <w:bCs/>
          <w:sz w:val="22"/>
          <w:szCs w:val="22"/>
        </w:rPr>
        <w:t>测量和分析的</w:t>
      </w:r>
      <w:r>
        <w:rPr>
          <w:rFonts w:hint="eastAsia" w:asciiTheme="majorEastAsia" w:hAnsiTheme="majorEastAsia" w:eastAsiaTheme="majorEastAsia"/>
          <w:bCs/>
          <w:sz w:val="22"/>
          <w:szCs w:val="22"/>
        </w:rPr>
        <w:t>检测</w:t>
      </w:r>
      <w:r>
        <w:rPr>
          <w:rFonts w:asciiTheme="majorEastAsia" w:hAnsiTheme="majorEastAsia" w:eastAsiaTheme="majorEastAsia"/>
          <w:bCs/>
          <w:sz w:val="22"/>
          <w:szCs w:val="22"/>
        </w:rPr>
        <w:t>结果超出设定的正常值</w:t>
      </w:r>
      <w:r>
        <w:rPr>
          <w:rFonts w:hint="eastAsia" w:asciiTheme="majorEastAsia" w:hAnsiTheme="majorEastAsia" w:eastAsiaTheme="majorEastAsia"/>
          <w:bCs/>
          <w:sz w:val="22"/>
          <w:szCs w:val="22"/>
        </w:rPr>
        <w:t>时</w:t>
      </w:r>
      <w:r>
        <w:rPr>
          <w:rFonts w:asciiTheme="majorEastAsia" w:hAnsiTheme="majorEastAsia" w:eastAsiaTheme="majorEastAsia"/>
          <w:bCs/>
          <w:sz w:val="22"/>
          <w:szCs w:val="22"/>
        </w:rPr>
        <w:t>，机器自动给出</w:t>
      </w:r>
      <w:r>
        <w:rPr>
          <w:rFonts w:hint="eastAsia" w:asciiTheme="majorEastAsia" w:hAnsiTheme="majorEastAsia" w:eastAsiaTheme="majorEastAsia"/>
          <w:bCs/>
          <w:sz w:val="22"/>
          <w:szCs w:val="22"/>
        </w:rPr>
        <w:t>潜在的风险</w:t>
      </w:r>
      <w:r>
        <w:rPr>
          <w:rFonts w:asciiTheme="majorEastAsia" w:hAnsiTheme="majorEastAsia" w:eastAsiaTheme="majorEastAsia"/>
          <w:bCs/>
          <w:sz w:val="22"/>
          <w:szCs w:val="22"/>
        </w:rPr>
        <w:t>提示</w:t>
      </w:r>
      <w:r>
        <w:rPr>
          <w:rFonts w:hint="eastAsia" w:asciiTheme="majorEastAsia" w:hAnsiTheme="majorEastAsia" w:eastAsiaTheme="majorEastAsia"/>
          <w:bCs/>
          <w:sz w:val="22"/>
          <w:szCs w:val="22"/>
        </w:rPr>
        <w:t>，并以红色的</w:t>
      </w:r>
      <w:r>
        <w:rPr>
          <w:rFonts w:asciiTheme="majorEastAsia" w:hAnsiTheme="majorEastAsia" w:eastAsiaTheme="majorEastAsia"/>
          <w:bCs/>
          <w:sz w:val="22"/>
          <w:szCs w:val="22"/>
        </w:rPr>
        <w:t>中文</w:t>
      </w:r>
      <w:r>
        <w:rPr>
          <w:rFonts w:hint="eastAsia" w:asciiTheme="majorEastAsia" w:hAnsiTheme="majorEastAsia" w:eastAsiaTheme="majorEastAsia"/>
          <w:bCs/>
          <w:sz w:val="22"/>
          <w:szCs w:val="22"/>
        </w:rPr>
        <w:t>显示测量结果，有效避免漏诊。</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7、适用范围：适用于学校，诊所和医院,用于筛查评估六个月以上至成人，以医疗器械注册</w:t>
      </w:r>
      <w:r>
        <w:rPr>
          <w:rFonts w:asciiTheme="majorEastAsia" w:hAnsiTheme="majorEastAsia" w:eastAsiaTheme="majorEastAsia"/>
          <w:bCs/>
          <w:sz w:val="22"/>
          <w:szCs w:val="22"/>
        </w:rPr>
        <w:t>证</w:t>
      </w:r>
      <w:r>
        <w:rPr>
          <w:rFonts w:hint="eastAsia" w:asciiTheme="majorEastAsia" w:hAnsiTheme="majorEastAsia" w:eastAsiaTheme="majorEastAsia"/>
          <w:bCs/>
          <w:sz w:val="22"/>
          <w:szCs w:val="22"/>
        </w:rPr>
        <w:t>上标注的“适用范围”为依据。</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8、 球镜度测量范围：-7.50D至+7.50D，0.25</w:t>
      </w:r>
      <w:r>
        <w:rPr>
          <w:rFonts w:asciiTheme="majorEastAsia" w:hAnsiTheme="majorEastAsia" w:eastAsiaTheme="majorEastAsia"/>
          <w:bCs/>
          <w:sz w:val="22"/>
          <w:szCs w:val="22"/>
        </w:rPr>
        <w:t>D递增</w:t>
      </w:r>
      <w:r>
        <w:rPr>
          <w:rFonts w:hint="eastAsia" w:asciiTheme="majorEastAsia" w:hAnsiTheme="majorEastAsia" w:eastAsiaTheme="majorEastAsia"/>
          <w:bCs/>
          <w:sz w:val="22"/>
          <w:szCs w:val="22"/>
        </w:rPr>
        <w:t>，</w:t>
      </w:r>
      <w:r>
        <w:rPr>
          <w:rFonts w:asciiTheme="majorEastAsia" w:hAnsiTheme="majorEastAsia" w:eastAsiaTheme="majorEastAsia"/>
          <w:bCs/>
          <w:sz w:val="22"/>
          <w:szCs w:val="22"/>
        </w:rPr>
        <w:t>精确度：-3.50D</w:t>
      </w:r>
      <w:r>
        <w:rPr>
          <w:rFonts w:hint="eastAsia" w:asciiTheme="majorEastAsia" w:hAnsiTheme="majorEastAsia" w:eastAsiaTheme="majorEastAsia"/>
          <w:bCs/>
          <w:sz w:val="22"/>
          <w:szCs w:val="22"/>
        </w:rPr>
        <w:t>到3.50</w:t>
      </w:r>
      <w:r>
        <w:rPr>
          <w:rFonts w:asciiTheme="majorEastAsia" w:hAnsiTheme="majorEastAsia" w:eastAsiaTheme="majorEastAsia"/>
          <w:bCs/>
          <w:sz w:val="22"/>
          <w:szCs w:val="22"/>
        </w:rPr>
        <w:t>D ±0.50D；-7.50D到＜-3.50D ±1.00D；＞</w:t>
      </w:r>
      <w:r>
        <w:rPr>
          <w:rFonts w:hint="eastAsia" w:asciiTheme="majorEastAsia" w:hAnsiTheme="majorEastAsia" w:eastAsiaTheme="majorEastAsia"/>
          <w:bCs/>
          <w:sz w:val="22"/>
          <w:szCs w:val="22"/>
        </w:rPr>
        <w:t>3.50</w:t>
      </w:r>
      <w:r>
        <w:rPr>
          <w:rFonts w:asciiTheme="majorEastAsia" w:hAnsiTheme="majorEastAsia" w:eastAsiaTheme="majorEastAsia"/>
          <w:bCs/>
          <w:sz w:val="22"/>
          <w:szCs w:val="22"/>
        </w:rPr>
        <w:t>D到</w:t>
      </w:r>
      <w:r>
        <w:rPr>
          <w:rFonts w:hint="eastAsia" w:asciiTheme="majorEastAsia" w:hAnsiTheme="majorEastAsia" w:eastAsiaTheme="majorEastAsia"/>
          <w:bCs/>
          <w:sz w:val="22"/>
          <w:szCs w:val="22"/>
        </w:rPr>
        <w:t>7.50</w:t>
      </w:r>
      <w:r>
        <w:rPr>
          <w:rFonts w:asciiTheme="majorEastAsia" w:hAnsiTheme="majorEastAsia" w:eastAsiaTheme="majorEastAsia"/>
          <w:bCs/>
          <w:sz w:val="22"/>
          <w:szCs w:val="22"/>
        </w:rPr>
        <w:t>D ±1.00</w:t>
      </w:r>
      <w:r>
        <w:rPr>
          <w:rFonts w:hint="eastAsia" w:asciiTheme="majorEastAsia" w:hAnsiTheme="majorEastAsia" w:eastAsiaTheme="majorEastAsia"/>
          <w:bCs/>
          <w:sz w:val="22"/>
          <w:szCs w:val="22"/>
        </w:rPr>
        <w:t>D。</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9、柱镜度测量范围：0</w:t>
      </w:r>
      <w:r>
        <w:rPr>
          <w:rFonts w:asciiTheme="majorEastAsia" w:hAnsiTheme="majorEastAsia" w:eastAsiaTheme="majorEastAsia"/>
          <w:bCs/>
          <w:sz w:val="22"/>
          <w:szCs w:val="22"/>
        </w:rPr>
        <w:t>.00D到</w:t>
      </w:r>
      <w:r>
        <w:rPr>
          <w:rFonts w:hint="eastAsia" w:asciiTheme="majorEastAsia" w:hAnsiTheme="majorEastAsia" w:eastAsiaTheme="majorEastAsia"/>
          <w:bCs/>
          <w:sz w:val="22"/>
          <w:szCs w:val="22"/>
        </w:rPr>
        <w:t>+3.00</w:t>
      </w:r>
      <w:r>
        <w:rPr>
          <w:rFonts w:asciiTheme="majorEastAsia" w:hAnsiTheme="majorEastAsia" w:eastAsiaTheme="majorEastAsia"/>
          <w:bCs/>
          <w:sz w:val="22"/>
          <w:szCs w:val="22"/>
        </w:rPr>
        <w:t>D</w:t>
      </w:r>
      <w:r>
        <w:rPr>
          <w:rFonts w:hint="eastAsia" w:asciiTheme="majorEastAsia" w:hAnsiTheme="majorEastAsia" w:eastAsiaTheme="majorEastAsia"/>
          <w:bCs/>
          <w:sz w:val="22"/>
          <w:szCs w:val="22"/>
        </w:rPr>
        <w:t>，0.25</w:t>
      </w:r>
      <w:r>
        <w:rPr>
          <w:rFonts w:asciiTheme="majorEastAsia" w:hAnsiTheme="majorEastAsia" w:eastAsiaTheme="majorEastAsia"/>
          <w:bCs/>
          <w:sz w:val="22"/>
          <w:szCs w:val="22"/>
        </w:rPr>
        <w:t>D递增，</w:t>
      </w:r>
      <w:r>
        <w:rPr>
          <w:rFonts w:hint="eastAsia" w:asciiTheme="majorEastAsia" w:hAnsiTheme="majorEastAsia" w:eastAsiaTheme="majorEastAsia"/>
          <w:bCs/>
          <w:sz w:val="22"/>
          <w:szCs w:val="22"/>
        </w:rPr>
        <w:t>精确度</w:t>
      </w:r>
      <w:r>
        <w:rPr>
          <w:rFonts w:asciiTheme="majorEastAsia" w:hAnsiTheme="majorEastAsia" w:eastAsiaTheme="majorEastAsia"/>
          <w:bCs/>
          <w:sz w:val="22"/>
          <w:szCs w:val="22"/>
        </w:rPr>
        <w:t>：-1.50D到</w:t>
      </w:r>
      <w:r>
        <w:rPr>
          <w:rFonts w:hint="eastAsia" w:asciiTheme="majorEastAsia" w:hAnsiTheme="majorEastAsia" w:eastAsiaTheme="majorEastAsia"/>
          <w:bCs/>
          <w:sz w:val="22"/>
          <w:szCs w:val="22"/>
        </w:rPr>
        <w:t>1.50</w:t>
      </w:r>
      <w:r>
        <w:rPr>
          <w:rFonts w:asciiTheme="majorEastAsia" w:hAnsiTheme="majorEastAsia" w:eastAsiaTheme="majorEastAsia"/>
          <w:bCs/>
          <w:sz w:val="22"/>
          <w:szCs w:val="22"/>
        </w:rPr>
        <w:t>D ±0.50D</w:t>
      </w:r>
      <w:r>
        <w:rPr>
          <w:rFonts w:hint="eastAsia" w:asciiTheme="majorEastAsia" w:hAnsiTheme="majorEastAsia" w:eastAsiaTheme="majorEastAsia"/>
          <w:bCs/>
          <w:sz w:val="22"/>
          <w:szCs w:val="22"/>
        </w:rPr>
        <w:t>；-3.</w:t>
      </w:r>
      <w:r>
        <w:rPr>
          <w:rFonts w:asciiTheme="majorEastAsia" w:hAnsiTheme="majorEastAsia" w:eastAsiaTheme="majorEastAsia"/>
          <w:bCs/>
          <w:sz w:val="22"/>
          <w:szCs w:val="22"/>
        </w:rPr>
        <w:t>00D到</w:t>
      </w:r>
      <w:r>
        <w:rPr>
          <w:rFonts w:hint="eastAsia" w:asciiTheme="majorEastAsia" w:hAnsiTheme="majorEastAsia" w:eastAsiaTheme="majorEastAsia"/>
          <w:bCs/>
          <w:sz w:val="22"/>
          <w:szCs w:val="22"/>
        </w:rPr>
        <w:t>&lt;-1.</w:t>
      </w:r>
      <w:r>
        <w:rPr>
          <w:rFonts w:asciiTheme="majorEastAsia" w:hAnsiTheme="majorEastAsia" w:eastAsiaTheme="majorEastAsia"/>
          <w:bCs/>
          <w:sz w:val="22"/>
          <w:szCs w:val="22"/>
        </w:rPr>
        <w:t>50D ±1.00D ＞</w:t>
      </w:r>
      <w:r>
        <w:rPr>
          <w:rFonts w:hint="eastAsia" w:asciiTheme="majorEastAsia" w:hAnsiTheme="majorEastAsia" w:eastAsiaTheme="majorEastAsia"/>
          <w:bCs/>
          <w:sz w:val="22"/>
          <w:szCs w:val="22"/>
        </w:rPr>
        <w:t>1.50</w:t>
      </w:r>
      <w:r>
        <w:rPr>
          <w:rFonts w:asciiTheme="majorEastAsia" w:hAnsiTheme="majorEastAsia" w:eastAsiaTheme="majorEastAsia"/>
          <w:bCs/>
          <w:sz w:val="22"/>
          <w:szCs w:val="22"/>
        </w:rPr>
        <w:t>D</w:t>
      </w:r>
      <w:r>
        <w:rPr>
          <w:rFonts w:hint="eastAsia" w:asciiTheme="majorEastAsia" w:hAnsiTheme="majorEastAsia" w:eastAsiaTheme="majorEastAsia"/>
          <w:bCs/>
          <w:sz w:val="22"/>
          <w:szCs w:val="22"/>
        </w:rPr>
        <w:t>到3.00</w:t>
      </w:r>
      <w:r>
        <w:rPr>
          <w:rFonts w:asciiTheme="majorEastAsia" w:hAnsiTheme="majorEastAsia" w:eastAsiaTheme="majorEastAsia"/>
          <w:bCs/>
          <w:sz w:val="22"/>
          <w:szCs w:val="22"/>
        </w:rPr>
        <w:t>D ±1.00</w:t>
      </w:r>
      <w:r>
        <w:rPr>
          <w:rFonts w:hint="eastAsia" w:asciiTheme="majorEastAsia" w:hAnsiTheme="majorEastAsia" w:eastAsiaTheme="majorEastAsia"/>
          <w:bCs/>
          <w:sz w:val="22"/>
          <w:szCs w:val="22"/>
        </w:rPr>
        <w:t>D。</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10、轴位</w:t>
      </w:r>
      <w:r>
        <w:rPr>
          <w:rFonts w:asciiTheme="majorEastAsia" w:hAnsiTheme="majorEastAsia" w:eastAsiaTheme="majorEastAsia"/>
          <w:bCs/>
          <w:sz w:val="22"/>
          <w:szCs w:val="22"/>
        </w:rPr>
        <w:t>范围：</w:t>
      </w:r>
      <w:r>
        <w:rPr>
          <w:rFonts w:hint="eastAsia" w:asciiTheme="majorEastAsia" w:hAnsiTheme="majorEastAsia" w:eastAsiaTheme="majorEastAsia"/>
          <w:bCs/>
          <w:sz w:val="22"/>
          <w:szCs w:val="22"/>
        </w:rPr>
        <w:t>1°</w:t>
      </w:r>
      <w:r>
        <w:rPr>
          <w:rFonts w:asciiTheme="majorEastAsia" w:hAnsiTheme="majorEastAsia" w:eastAsiaTheme="majorEastAsia"/>
          <w:bCs/>
          <w:sz w:val="22"/>
          <w:szCs w:val="22"/>
        </w:rPr>
        <w:t>到</w:t>
      </w:r>
      <w:r>
        <w:rPr>
          <w:rFonts w:hint="eastAsia" w:asciiTheme="majorEastAsia" w:hAnsiTheme="majorEastAsia" w:eastAsiaTheme="majorEastAsia"/>
          <w:bCs/>
          <w:sz w:val="22"/>
          <w:szCs w:val="22"/>
        </w:rPr>
        <w:t>180°</w:t>
      </w: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1°</w:t>
      </w:r>
      <w:r>
        <w:rPr>
          <w:rFonts w:asciiTheme="majorEastAsia" w:hAnsiTheme="majorEastAsia" w:eastAsiaTheme="majorEastAsia"/>
          <w:bCs/>
          <w:sz w:val="22"/>
          <w:szCs w:val="22"/>
        </w:rPr>
        <w:t>递增</w:t>
      </w:r>
      <w:r>
        <w:rPr>
          <w:rFonts w:hint="eastAsia" w:asciiTheme="majorEastAsia" w:hAnsiTheme="majorEastAsia" w:eastAsiaTheme="majorEastAsia"/>
          <w:bCs/>
          <w:sz w:val="22"/>
          <w:szCs w:val="22"/>
        </w:rPr>
        <w:t>，</w:t>
      </w:r>
      <w:r>
        <w:rPr>
          <w:rFonts w:asciiTheme="majorEastAsia" w:hAnsiTheme="majorEastAsia" w:eastAsiaTheme="majorEastAsia"/>
          <w:bCs/>
          <w:sz w:val="22"/>
          <w:szCs w:val="22"/>
        </w:rPr>
        <w:t>精确度：±10°（</w:t>
      </w:r>
      <w:r>
        <w:rPr>
          <w:rFonts w:hint="eastAsia" w:asciiTheme="majorEastAsia" w:hAnsiTheme="majorEastAsia" w:eastAsiaTheme="majorEastAsia"/>
          <w:bCs/>
          <w:sz w:val="22"/>
          <w:szCs w:val="22"/>
        </w:rPr>
        <w:t>对于</w:t>
      </w:r>
      <w:r>
        <w:rPr>
          <w:rFonts w:asciiTheme="majorEastAsia" w:hAnsiTheme="majorEastAsia" w:eastAsiaTheme="majorEastAsia"/>
          <w:bCs/>
          <w:sz w:val="22"/>
          <w:szCs w:val="22"/>
        </w:rPr>
        <w:t>柱</w:t>
      </w:r>
      <w:r>
        <w:rPr>
          <w:rFonts w:hint="eastAsia" w:asciiTheme="majorEastAsia" w:hAnsiTheme="majorEastAsia" w:eastAsiaTheme="majorEastAsia"/>
          <w:bCs/>
          <w:sz w:val="22"/>
          <w:szCs w:val="22"/>
        </w:rPr>
        <w:t>镜度</w:t>
      </w: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0.</w:t>
      </w:r>
      <w:r>
        <w:rPr>
          <w:rFonts w:asciiTheme="majorEastAsia" w:hAnsiTheme="majorEastAsia" w:eastAsiaTheme="majorEastAsia"/>
          <w:bCs/>
          <w:sz w:val="22"/>
          <w:szCs w:val="22"/>
        </w:rPr>
        <w:t>5D）</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11、</w:t>
      </w:r>
      <w:r>
        <w:rPr>
          <w:rFonts w:asciiTheme="majorEastAsia" w:hAnsiTheme="majorEastAsia" w:eastAsiaTheme="majorEastAsia"/>
          <w:bCs/>
          <w:sz w:val="22"/>
          <w:szCs w:val="22"/>
        </w:rPr>
        <w:t>测量瞳孔直径范围：4.0mm - 9.0mm，0.1mm递增，精确度：±0.4mm</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12、</w:t>
      </w:r>
      <w:r>
        <w:rPr>
          <w:rFonts w:asciiTheme="majorEastAsia" w:hAnsiTheme="majorEastAsia" w:eastAsiaTheme="majorEastAsia"/>
          <w:bCs/>
          <w:sz w:val="22"/>
          <w:szCs w:val="22"/>
        </w:rPr>
        <w:t>测量瞳距范围：35mm到80mm，1mm递增，精确度：±1.5m</w:t>
      </w:r>
      <w:r>
        <w:rPr>
          <w:rFonts w:hint="eastAsia" w:asciiTheme="majorEastAsia" w:hAnsiTheme="majorEastAsia" w:eastAsiaTheme="majorEastAsia"/>
          <w:bCs/>
          <w:sz w:val="22"/>
          <w:szCs w:val="22"/>
        </w:rPr>
        <w:t>m。</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13</w:t>
      </w:r>
      <w:r>
        <w:rPr>
          <w:rFonts w:asciiTheme="majorEastAsia" w:hAnsiTheme="majorEastAsia" w:eastAsiaTheme="majorEastAsia"/>
          <w:bCs/>
          <w:sz w:val="22"/>
          <w:szCs w:val="22"/>
        </w:rPr>
        <w:t>、斜视测量：鼻、</w:t>
      </w:r>
      <w:r>
        <w:rPr>
          <w:rFonts w:hint="eastAsia" w:asciiTheme="majorEastAsia" w:hAnsiTheme="majorEastAsia" w:eastAsiaTheme="majorEastAsia"/>
          <w:bCs/>
          <w:sz w:val="22"/>
          <w:szCs w:val="22"/>
        </w:rPr>
        <w:t>颞侧</w:t>
      </w:r>
      <w:r>
        <w:rPr>
          <w:rFonts w:asciiTheme="majorEastAsia" w:hAnsiTheme="majorEastAsia" w:eastAsiaTheme="majorEastAsia"/>
          <w:bCs/>
          <w:sz w:val="22"/>
          <w:szCs w:val="22"/>
        </w:rPr>
        <w:t>方向范围0°到20°，精确±1.5°；上、下方向范围0°到20°，精确±1.5°</w:t>
      </w:r>
      <w:r>
        <w:rPr>
          <w:rFonts w:hint="eastAsia" w:asciiTheme="majorEastAsia" w:hAnsiTheme="majorEastAsia" w:eastAsiaTheme="majorEastAsia"/>
          <w:bCs/>
          <w:sz w:val="22"/>
          <w:szCs w:val="22"/>
        </w:rPr>
        <w:t>,以医疗器械注册</w:t>
      </w:r>
      <w:r>
        <w:rPr>
          <w:rFonts w:asciiTheme="majorEastAsia" w:hAnsiTheme="majorEastAsia" w:eastAsiaTheme="majorEastAsia"/>
          <w:bCs/>
          <w:sz w:val="22"/>
          <w:szCs w:val="22"/>
        </w:rPr>
        <w:t>证</w:t>
      </w:r>
      <w:r>
        <w:rPr>
          <w:rFonts w:hint="eastAsia" w:asciiTheme="majorEastAsia" w:hAnsiTheme="majorEastAsia" w:eastAsiaTheme="majorEastAsia"/>
          <w:bCs/>
          <w:sz w:val="22"/>
          <w:szCs w:val="22"/>
        </w:rPr>
        <w:t>上标注的“附件：产品技术要求”为依据。</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14、主机可无线直连A4打印机，实现数据打印，可在打印报告的底部设置使用单位名称、地址电话等信息。</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15、筛查的敏感性/特异性＞90%,提供不少于5篇医学期刊临床有效性报告证明其敏感性和特异性。</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16、打印机接口</w:t>
      </w:r>
      <w:r>
        <w:rPr>
          <w:rFonts w:asciiTheme="majorEastAsia" w:hAnsiTheme="majorEastAsia" w:eastAsiaTheme="majorEastAsia"/>
          <w:bCs/>
          <w:sz w:val="22"/>
          <w:szCs w:val="22"/>
        </w:rPr>
        <w:t xml:space="preserve">：Wi-Fi </w:t>
      </w:r>
      <w:r>
        <w:rPr>
          <w:rFonts w:hint="eastAsia" w:asciiTheme="majorEastAsia" w:hAnsiTheme="majorEastAsia" w:eastAsiaTheme="majorEastAsia"/>
          <w:bCs/>
          <w:sz w:val="22"/>
          <w:szCs w:val="22"/>
        </w:rPr>
        <w:t>/ USB；数据接口：</w:t>
      </w:r>
      <w:r>
        <w:rPr>
          <w:rFonts w:asciiTheme="majorEastAsia" w:hAnsiTheme="majorEastAsia" w:eastAsiaTheme="majorEastAsia"/>
          <w:bCs/>
          <w:sz w:val="22"/>
          <w:szCs w:val="22"/>
        </w:rPr>
        <w:t>Wi-Fi / US</w:t>
      </w:r>
      <w:r>
        <w:rPr>
          <w:rFonts w:hint="eastAsia" w:asciiTheme="majorEastAsia" w:hAnsiTheme="majorEastAsia" w:eastAsiaTheme="majorEastAsia"/>
          <w:bCs/>
          <w:sz w:val="22"/>
          <w:szCs w:val="22"/>
        </w:rPr>
        <w:t>B。</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17、可从电脑批量输入、输出患者信息，提高筛查效率。</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18、报告形式：自带粘贴的标签报告和A4纸彩色图文病历报告，图文报告显示彩色眼位照相图片，对超出正常范围的数值以红色标注，方便医生及患者解读。</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19、供电方式：内置锂离子电池，可边充电边使用。</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20、</w:t>
      </w:r>
      <w:r>
        <w:rPr>
          <w:rFonts w:asciiTheme="majorEastAsia" w:hAnsiTheme="majorEastAsia" w:eastAsiaTheme="majorEastAsia"/>
          <w:bCs/>
          <w:sz w:val="22"/>
          <w:szCs w:val="22"/>
        </w:rPr>
        <w:t>为保证信号免干扰设备的稳定性</w:t>
      </w:r>
      <w:r>
        <w:rPr>
          <w:rFonts w:hint="eastAsia" w:asciiTheme="majorEastAsia" w:hAnsiTheme="majorEastAsia" w:eastAsiaTheme="majorEastAsia"/>
          <w:bCs/>
          <w:sz w:val="22"/>
          <w:szCs w:val="22"/>
        </w:rPr>
        <w:t>,产品如使用无线电发射信号技术则必须提供由国家工信部无线电管理局颁发的无线电发射设备型号核准证书。</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21、</w:t>
      </w:r>
      <w:r>
        <w:rPr>
          <w:rFonts w:asciiTheme="majorEastAsia" w:hAnsiTheme="majorEastAsia" w:eastAsiaTheme="majorEastAsia"/>
          <w:bCs/>
          <w:sz w:val="22"/>
          <w:szCs w:val="22"/>
        </w:rPr>
        <w:t>具有屏保功能：如长时间不使用，屏幕将会变暗以节省电池电量，轻敲屏幕或按电源按钮可以“唤醒” 设备</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22、</w:t>
      </w:r>
      <w:r>
        <w:rPr>
          <w:rFonts w:asciiTheme="majorEastAsia" w:hAnsiTheme="majorEastAsia" w:eastAsiaTheme="majorEastAsia"/>
          <w:bCs/>
          <w:sz w:val="22"/>
          <w:szCs w:val="22"/>
        </w:rPr>
        <w:t>可以使用位于设备底部的螺纹固定座连接三脚架，将设备安装到标准摄影三脚架上</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23、</w:t>
      </w:r>
      <w:r>
        <w:rPr>
          <w:rFonts w:asciiTheme="majorEastAsia" w:hAnsiTheme="majorEastAsia" w:eastAsiaTheme="majorEastAsia"/>
          <w:bCs/>
          <w:sz w:val="22"/>
          <w:szCs w:val="22"/>
        </w:rPr>
        <w:t>510豁免认证，视力筛选仪为510豁免产品，</w:t>
      </w:r>
      <w:r>
        <w:rPr>
          <w:rFonts w:hint="eastAsia" w:asciiTheme="majorEastAsia" w:hAnsiTheme="majorEastAsia" w:eastAsiaTheme="majorEastAsia"/>
          <w:bCs/>
          <w:sz w:val="22"/>
          <w:szCs w:val="22"/>
        </w:rPr>
        <w:t>须提供</w:t>
      </w:r>
      <w:r>
        <w:rPr>
          <w:rFonts w:asciiTheme="majorEastAsia" w:hAnsiTheme="majorEastAsia" w:eastAsiaTheme="majorEastAsia"/>
          <w:bCs/>
          <w:sz w:val="22"/>
          <w:szCs w:val="22"/>
        </w:rPr>
        <w:t>510豁免声明</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24、</w:t>
      </w:r>
      <w:r>
        <w:rPr>
          <w:rFonts w:asciiTheme="majorEastAsia" w:hAnsiTheme="majorEastAsia" w:eastAsiaTheme="majorEastAsia"/>
          <w:bCs/>
          <w:sz w:val="22"/>
          <w:szCs w:val="22"/>
        </w:rPr>
        <w:t>无线网络与WIFI功能：具有无线网络接口、具有WIFI功能，并且可以选择相应的安全类型：无、WEP 或 WPA</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25、</w:t>
      </w:r>
      <w:r>
        <w:rPr>
          <w:rFonts w:asciiTheme="majorEastAsia" w:hAnsiTheme="majorEastAsia" w:eastAsiaTheme="majorEastAsia"/>
          <w:bCs/>
          <w:sz w:val="22"/>
          <w:szCs w:val="22"/>
        </w:rPr>
        <w:t>设备使用频率：802.11b/g，2.402 千兆赫至 2.480 千兆赫</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26、</w:t>
      </w:r>
      <w:r>
        <w:rPr>
          <w:rFonts w:asciiTheme="majorEastAsia" w:hAnsiTheme="majorEastAsia" w:eastAsiaTheme="majorEastAsia"/>
          <w:bCs/>
          <w:sz w:val="22"/>
          <w:szCs w:val="22"/>
        </w:rPr>
        <w:t>仪器工作温度 (°C)：+10 至 +40，工作湿度：相对湿度 30% 至 95%</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27、软件支持后续升级，可以导入导出测量数据。</w:t>
      </w:r>
    </w:p>
    <w:p>
      <w:pPr>
        <w:adjustRightInd w:val="0"/>
        <w:snapToGrid w:val="0"/>
        <w:spacing w:line="440" w:lineRule="exact"/>
        <w:jc w:val="left"/>
        <w:rPr>
          <w:rFonts w:asciiTheme="majorEastAsia" w:hAnsiTheme="majorEastAsia" w:eastAsiaTheme="majorEastAsia"/>
          <w:bCs/>
          <w:sz w:val="22"/>
          <w:szCs w:val="22"/>
        </w:rPr>
      </w:pP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 xml:space="preserve">28、主机、打印机、电脑、手机等智能终端设备可通过网络互连，建立数据库，数据上传云端，实现数据永久保存，可为用户建立独立账户密码，方便查阅历史数据。 </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29、手机通过网络连接,可直接扫描二维码，方便幼儿园学校等大批量筛查。</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30、</w:t>
      </w:r>
      <w:r>
        <w:rPr>
          <w:rFonts w:asciiTheme="majorEastAsia" w:hAnsiTheme="majorEastAsia" w:eastAsiaTheme="majorEastAsia"/>
          <w:bCs/>
          <w:sz w:val="22"/>
          <w:szCs w:val="22"/>
        </w:rPr>
        <w:t>测试时间：3秒及以内时间完成每次测量</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31、注视方式：多彩交替灯光及雨林环境音效。</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32、主机重量≤1.2KG,自配保护腕带预防掉落，可双手/单手操作。</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33</w:t>
      </w:r>
      <w:r>
        <w:rPr>
          <w:rFonts w:asciiTheme="majorEastAsia" w:hAnsiTheme="majorEastAsia" w:eastAsiaTheme="majorEastAsia"/>
          <w:bCs/>
          <w:sz w:val="22"/>
          <w:szCs w:val="22"/>
        </w:rPr>
        <w:t>、</w:t>
      </w:r>
      <w:r>
        <w:rPr>
          <w:rFonts w:hint="eastAsia" w:asciiTheme="majorEastAsia" w:hAnsiTheme="majorEastAsia" w:eastAsiaTheme="majorEastAsia"/>
          <w:bCs/>
          <w:sz w:val="22"/>
          <w:szCs w:val="22"/>
        </w:rPr>
        <w:t>配置清单</w:t>
      </w:r>
      <w:r>
        <w:rPr>
          <w:rFonts w:asciiTheme="majorEastAsia" w:hAnsiTheme="majorEastAsia" w:eastAsiaTheme="majorEastAsia"/>
          <w:bCs/>
          <w:sz w:val="22"/>
          <w:szCs w:val="22"/>
        </w:rPr>
        <w:t>:</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1</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 xml:space="preserve">、主机         </w:t>
      </w:r>
      <w:r>
        <w:rPr>
          <w:rFonts w:hint="eastAsia" w:cs="Courier New" w:asciiTheme="minorEastAsia" w:hAnsiTheme="minorEastAsia" w:eastAsiaTheme="minorEastAsia"/>
          <w:sz w:val="22"/>
          <w:szCs w:val="22"/>
          <w:shd w:val="clear" w:color="auto" w:fill="FFFFFF"/>
        </w:rPr>
        <w:t xml:space="preserve">               </w:t>
      </w:r>
      <w:r>
        <w:rPr>
          <w:rFonts w:cs="Courier New" w:asciiTheme="minorEastAsia" w:hAnsiTheme="minorEastAsia" w:eastAsiaTheme="minorEastAsia"/>
          <w:sz w:val="22"/>
          <w:szCs w:val="22"/>
          <w:shd w:val="clear" w:color="auto" w:fill="FFFFFF"/>
        </w:rPr>
        <w:t>一台</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2</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 xml:space="preserve">、充电电源     </w:t>
      </w:r>
      <w:r>
        <w:rPr>
          <w:rFonts w:hint="eastAsia" w:cs="Courier New" w:asciiTheme="minorEastAsia" w:hAnsiTheme="minorEastAsia" w:eastAsiaTheme="minorEastAsia"/>
          <w:sz w:val="22"/>
          <w:szCs w:val="22"/>
          <w:shd w:val="clear" w:color="auto" w:fill="FFFFFF"/>
        </w:rPr>
        <w:t xml:space="preserve">            </w:t>
      </w:r>
      <w:r>
        <w:rPr>
          <w:rFonts w:cs="Courier New" w:asciiTheme="minorEastAsia" w:hAnsiTheme="minorEastAsia" w:eastAsiaTheme="minorEastAsia"/>
          <w:sz w:val="22"/>
          <w:szCs w:val="22"/>
          <w:shd w:val="clear" w:color="auto" w:fill="FFFFFF"/>
        </w:rPr>
        <w:t xml:space="preserve"> </w:t>
      </w:r>
      <w:r>
        <w:rPr>
          <w:rFonts w:hint="eastAsia" w:cs="Courier New" w:asciiTheme="minorEastAsia" w:hAnsiTheme="minorEastAsia" w:eastAsiaTheme="minorEastAsia"/>
          <w:sz w:val="22"/>
          <w:szCs w:val="22"/>
          <w:shd w:val="clear" w:color="auto" w:fill="FFFFFF"/>
        </w:rPr>
        <w:t xml:space="preserve">  </w:t>
      </w:r>
      <w:r>
        <w:rPr>
          <w:rFonts w:cs="Courier New" w:asciiTheme="minorEastAsia" w:hAnsiTheme="minorEastAsia" w:eastAsiaTheme="minorEastAsia"/>
          <w:sz w:val="22"/>
          <w:szCs w:val="22"/>
          <w:shd w:val="clear" w:color="auto" w:fill="FFFFFF"/>
        </w:rPr>
        <w:t>一个</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3</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 xml:space="preserve">、中文说明书  </w:t>
      </w:r>
      <w:r>
        <w:rPr>
          <w:rFonts w:hint="eastAsia" w:cs="Courier New" w:asciiTheme="minorEastAsia" w:hAnsiTheme="minorEastAsia" w:eastAsiaTheme="minorEastAsia"/>
          <w:sz w:val="22"/>
          <w:szCs w:val="22"/>
          <w:shd w:val="clear" w:color="auto" w:fill="FFFFFF"/>
        </w:rPr>
        <w:t xml:space="preserve">                </w:t>
      </w:r>
      <w:r>
        <w:rPr>
          <w:rFonts w:cs="Courier New" w:asciiTheme="minorEastAsia" w:hAnsiTheme="minorEastAsia" w:eastAsiaTheme="minorEastAsia"/>
          <w:sz w:val="22"/>
          <w:szCs w:val="22"/>
          <w:shd w:val="clear" w:color="auto" w:fill="FFFFFF"/>
        </w:rPr>
        <w:t>一本</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4</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 xml:space="preserve">、擦镜布       </w:t>
      </w:r>
      <w:r>
        <w:rPr>
          <w:rFonts w:hint="eastAsia" w:cs="Courier New" w:asciiTheme="minorEastAsia" w:hAnsiTheme="minorEastAsia" w:eastAsiaTheme="minorEastAsia"/>
          <w:sz w:val="22"/>
          <w:szCs w:val="22"/>
          <w:shd w:val="clear" w:color="auto" w:fill="FFFFFF"/>
        </w:rPr>
        <w:t xml:space="preserve">               </w:t>
      </w:r>
      <w:r>
        <w:rPr>
          <w:rFonts w:cs="Courier New" w:asciiTheme="minorEastAsia" w:hAnsiTheme="minorEastAsia" w:eastAsiaTheme="minorEastAsia"/>
          <w:sz w:val="22"/>
          <w:szCs w:val="22"/>
          <w:shd w:val="clear" w:color="auto" w:fill="FFFFFF"/>
        </w:rPr>
        <w:t>一块</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5</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 xml:space="preserve">、便携包      </w:t>
      </w:r>
      <w:r>
        <w:rPr>
          <w:rFonts w:hint="eastAsia" w:cs="Courier New" w:asciiTheme="minorEastAsia" w:hAnsiTheme="minorEastAsia" w:eastAsiaTheme="minorEastAsia"/>
          <w:sz w:val="22"/>
          <w:szCs w:val="22"/>
          <w:shd w:val="clear" w:color="auto" w:fill="FFFFFF"/>
        </w:rPr>
        <w:t xml:space="preserve">                </w:t>
      </w:r>
      <w:r>
        <w:rPr>
          <w:rFonts w:cs="Courier New" w:asciiTheme="minorEastAsia" w:hAnsiTheme="minorEastAsia" w:eastAsiaTheme="minorEastAsia"/>
          <w:sz w:val="22"/>
          <w:szCs w:val="22"/>
          <w:shd w:val="clear" w:color="auto" w:fill="FFFFFF"/>
        </w:rPr>
        <w:t>一个</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二）、身高体重测量仪</w:t>
      </w:r>
      <w:r>
        <w:rPr>
          <w:rFonts w:asciiTheme="majorEastAsia" w:hAnsiTheme="majorEastAsia" w:eastAsiaTheme="majorEastAsia"/>
          <w:bCs/>
          <w:sz w:val="22"/>
          <w:szCs w:val="22"/>
        </w:rPr>
        <w:t xml:space="preserve">技术参数: </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1、▲具备ISO9001质量体系认证，二类医疗器械备案。</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2、▲</w:t>
      </w:r>
      <w:r>
        <w:rPr>
          <w:rFonts w:asciiTheme="majorEastAsia" w:hAnsiTheme="majorEastAsia" w:eastAsiaTheme="majorEastAsia"/>
          <w:bCs/>
          <w:sz w:val="22"/>
          <w:szCs w:val="22"/>
        </w:rPr>
        <w:t xml:space="preserve">身高测量方式: 超声波测距(美国原装探头并实现温差补偿) </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3、</w:t>
      </w:r>
      <w:r>
        <w:rPr>
          <w:rFonts w:asciiTheme="majorEastAsia" w:hAnsiTheme="majorEastAsia" w:eastAsiaTheme="majorEastAsia"/>
          <w:bCs/>
          <w:sz w:val="22"/>
          <w:szCs w:val="22"/>
        </w:rPr>
        <w:t>体重测量方式:精密平衡梁式压力传感器称重</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4、▲血压测量方式：示波法（欧姆龙臂式血压计）。</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5、</w:t>
      </w:r>
      <w:r>
        <w:rPr>
          <w:rFonts w:asciiTheme="majorEastAsia" w:hAnsiTheme="majorEastAsia" w:eastAsiaTheme="majorEastAsia"/>
          <w:bCs/>
          <w:sz w:val="22"/>
          <w:szCs w:val="22"/>
        </w:rPr>
        <w:t>体型:国际通用体格指数(BMI)</w:t>
      </w:r>
      <w:r>
        <w:rPr>
          <w:rFonts w:hint="eastAsia" w:asciiTheme="majorEastAsia" w:hAnsiTheme="majorEastAsia" w:eastAsiaTheme="majorEastAsia"/>
          <w:bCs/>
          <w:sz w:val="22"/>
          <w:szCs w:val="22"/>
        </w:rPr>
        <w:t>。</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6、▲</w:t>
      </w:r>
      <w:r>
        <w:rPr>
          <w:rFonts w:asciiTheme="majorEastAsia" w:hAnsiTheme="majorEastAsia" w:eastAsiaTheme="majorEastAsia"/>
          <w:bCs/>
          <w:sz w:val="22"/>
          <w:szCs w:val="22"/>
        </w:rPr>
        <w:t>显示方式:主显示屏</w:t>
      </w:r>
      <w:r>
        <w:rPr>
          <w:rFonts w:hint="eastAsia" w:asciiTheme="majorEastAsia" w:hAnsiTheme="majorEastAsia" w:eastAsiaTheme="majorEastAsia"/>
          <w:bCs/>
          <w:sz w:val="22"/>
          <w:szCs w:val="22"/>
        </w:rPr>
        <w:t>LED显示屏，显示屏能显示身高、体重、BMI体格指数、体型（偏瘦、正常、偏胖、肥胖）、血压（高压、低压）、心率，待机状态下显示当前日期、时间，室内环境温度。</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7、</w:t>
      </w:r>
      <w:r>
        <w:rPr>
          <w:rFonts w:asciiTheme="majorEastAsia" w:hAnsiTheme="majorEastAsia" w:eastAsiaTheme="majorEastAsia"/>
          <w:bCs/>
          <w:sz w:val="22"/>
          <w:szCs w:val="22"/>
        </w:rPr>
        <w:t>测量范围:</w:t>
      </w:r>
      <w:r>
        <w:rPr>
          <w:rFonts w:hint="eastAsia" w:asciiTheme="majorEastAsia" w:hAnsiTheme="majorEastAsia" w:eastAsiaTheme="majorEastAsia"/>
          <w:bCs/>
          <w:sz w:val="22"/>
          <w:szCs w:val="22"/>
        </w:rPr>
        <w:t xml:space="preserve"> </w:t>
      </w:r>
      <w:r>
        <w:rPr>
          <w:rFonts w:asciiTheme="majorEastAsia" w:hAnsiTheme="majorEastAsia" w:eastAsiaTheme="majorEastAsia"/>
          <w:bCs/>
          <w:sz w:val="22"/>
          <w:szCs w:val="22"/>
        </w:rPr>
        <w:t>身高测量范围：</w:t>
      </w:r>
      <w:r>
        <w:rPr>
          <w:rFonts w:hint="eastAsia" w:asciiTheme="majorEastAsia" w:hAnsiTheme="majorEastAsia" w:eastAsiaTheme="majorEastAsia"/>
          <w:bCs/>
          <w:sz w:val="22"/>
          <w:szCs w:val="22"/>
        </w:rPr>
        <w:t>6</w:t>
      </w:r>
      <w:r>
        <w:rPr>
          <w:rFonts w:asciiTheme="majorEastAsia" w:hAnsiTheme="majorEastAsia" w:eastAsiaTheme="majorEastAsia"/>
          <w:bCs/>
          <w:sz w:val="22"/>
          <w:szCs w:val="22"/>
        </w:rPr>
        <w:t>0-200cm 分度值0.5cm</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 xml:space="preserve">          </w:t>
      </w:r>
      <w:r>
        <w:rPr>
          <w:rFonts w:asciiTheme="majorEastAsia" w:hAnsiTheme="majorEastAsia" w:eastAsiaTheme="majorEastAsia"/>
          <w:bCs/>
          <w:sz w:val="22"/>
          <w:szCs w:val="22"/>
        </w:rPr>
        <w:t>体重测量范围：8-200kg 分度值0.1kg</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 xml:space="preserve">          血压测量范围：0-299mmHg(0-39.9kpa)</w:t>
      </w:r>
      <w:r>
        <w:rPr>
          <w:rFonts w:hint="eastAsia" w:asciiTheme="majorEastAsia" w:hAnsiTheme="majorEastAsia" w:eastAsiaTheme="majorEastAsia"/>
          <w:bCs/>
          <w:sz w:val="22"/>
          <w:szCs w:val="22"/>
        </w:rPr>
        <w:tab/>
      </w:r>
      <w:r>
        <w:rPr>
          <w:rFonts w:hint="eastAsia" w:asciiTheme="majorEastAsia" w:hAnsiTheme="majorEastAsia" w:eastAsiaTheme="majorEastAsia"/>
          <w:bCs/>
          <w:sz w:val="22"/>
          <w:szCs w:val="22"/>
        </w:rPr>
        <w:t xml:space="preserve">       </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 xml:space="preserve">          脉搏测量范围：40-180times/min</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8、</w:t>
      </w:r>
      <w:r>
        <w:rPr>
          <w:rFonts w:asciiTheme="majorEastAsia" w:hAnsiTheme="majorEastAsia" w:eastAsiaTheme="majorEastAsia"/>
          <w:bCs/>
          <w:sz w:val="22"/>
          <w:szCs w:val="22"/>
        </w:rPr>
        <w:t>打印方式:热敏打印</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9、</w:t>
      </w:r>
      <w:r>
        <w:rPr>
          <w:rFonts w:asciiTheme="majorEastAsia" w:hAnsiTheme="majorEastAsia" w:eastAsiaTheme="majorEastAsia"/>
          <w:bCs/>
          <w:sz w:val="22"/>
          <w:szCs w:val="22"/>
        </w:rPr>
        <w:t>语音提示:</w:t>
      </w:r>
      <w:r>
        <w:rPr>
          <w:rFonts w:hint="eastAsia" w:asciiTheme="majorEastAsia" w:hAnsiTheme="majorEastAsia" w:eastAsiaTheme="majorEastAsia"/>
          <w:bCs/>
          <w:sz w:val="22"/>
          <w:szCs w:val="22"/>
        </w:rPr>
        <w:t>有语音自动播报测量结果</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 xml:space="preserve">10、数据输出格式： RS-232                         </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11、</w:t>
      </w:r>
      <w:r>
        <w:rPr>
          <w:rFonts w:asciiTheme="majorEastAsia" w:hAnsiTheme="majorEastAsia" w:eastAsiaTheme="majorEastAsia"/>
          <w:bCs/>
          <w:sz w:val="22"/>
          <w:szCs w:val="22"/>
        </w:rPr>
        <w:t>电源电压:交流（照明电）：110V-2</w:t>
      </w:r>
      <w:r>
        <w:rPr>
          <w:rFonts w:hint="eastAsia" w:asciiTheme="majorEastAsia" w:hAnsiTheme="majorEastAsia" w:eastAsiaTheme="majorEastAsia"/>
          <w:bCs/>
          <w:sz w:val="22"/>
          <w:szCs w:val="22"/>
        </w:rPr>
        <w:t>4</w:t>
      </w:r>
      <w:r>
        <w:rPr>
          <w:rFonts w:asciiTheme="majorEastAsia" w:hAnsiTheme="majorEastAsia" w:eastAsiaTheme="majorEastAsia"/>
          <w:bCs/>
          <w:sz w:val="22"/>
          <w:szCs w:val="22"/>
        </w:rPr>
        <w:t>0V,50HZ</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12、</w:t>
      </w:r>
      <w:r>
        <w:rPr>
          <w:rFonts w:asciiTheme="majorEastAsia" w:hAnsiTheme="majorEastAsia" w:eastAsiaTheme="majorEastAsia"/>
          <w:bCs/>
          <w:sz w:val="22"/>
          <w:szCs w:val="22"/>
        </w:rPr>
        <w:t>功耗:待机时功率：≤８Ｗ</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 xml:space="preserve">     </w:t>
      </w:r>
      <w:r>
        <w:rPr>
          <w:rFonts w:asciiTheme="majorEastAsia" w:hAnsiTheme="majorEastAsia" w:eastAsiaTheme="majorEastAsia"/>
          <w:bCs/>
          <w:sz w:val="22"/>
          <w:szCs w:val="22"/>
        </w:rPr>
        <w:t>测量时功率：≤１２Ｗ</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13、工作环境：  环境温度：－１０℃～＋４０℃</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14、环境湿度：＜８５％</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15、▲机身高度：235cm    折叠后高度：130cm</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16、</w:t>
      </w:r>
      <w:r>
        <w:rPr>
          <w:rFonts w:asciiTheme="majorEastAsia" w:hAnsiTheme="majorEastAsia" w:eastAsiaTheme="majorEastAsia"/>
          <w:bCs/>
          <w:sz w:val="22"/>
          <w:szCs w:val="22"/>
        </w:rPr>
        <w:t>外形尺寸:MAX:55(L)×3</w:t>
      </w:r>
      <w:r>
        <w:rPr>
          <w:rFonts w:hint="eastAsia" w:asciiTheme="majorEastAsia" w:hAnsiTheme="majorEastAsia" w:eastAsiaTheme="majorEastAsia"/>
          <w:bCs/>
          <w:sz w:val="22"/>
          <w:szCs w:val="22"/>
        </w:rPr>
        <w:t>3</w:t>
      </w:r>
      <w:r>
        <w:rPr>
          <w:rFonts w:asciiTheme="majorEastAsia" w:hAnsiTheme="majorEastAsia" w:eastAsiaTheme="majorEastAsia"/>
          <w:bCs/>
          <w:sz w:val="22"/>
          <w:szCs w:val="22"/>
        </w:rPr>
        <w:t>(W)×2</w:t>
      </w:r>
      <w:r>
        <w:rPr>
          <w:rFonts w:hint="eastAsia" w:asciiTheme="majorEastAsia" w:hAnsiTheme="majorEastAsia" w:eastAsiaTheme="majorEastAsia"/>
          <w:bCs/>
          <w:sz w:val="22"/>
          <w:szCs w:val="22"/>
        </w:rPr>
        <w:t>35</w:t>
      </w:r>
      <w:r>
        <w:rPr>
          <w:rFonts w:asciiTheme="majorEastAsia" w:hAnsiTheme="majorEastAsia" w:eastAsiaTheme="majorEastAsia"/>
          <w:bCs/>
          <w:sz w:val="22"/>
          <w:szCs w:val="22"/>
        </w:rPr>
        <w:t>(H)</w:t>
      </w:r>
      <w:r>
        <w:rPr>
          <w:rFonts w:hint="eastAsia" w:asciiTheme="majorEastAsia" w:hAnsiTheme="majorEastAsia" w:eastAsiaTheme="majorEastAsia"/>
          <w:bCs/>
          <w:sz w:val="22"/>
          <w:szCs w:val="22"/>
        </w:rPr>
        <w:t>cm</w:t>
      </w:r>
    </w:p>
    <w:p>
      <w:pPr>
        <w:adjustRightInd w:val="0"/>
        <w:snapToGrid w:val="0"/>
        <w:spacing w:line="440" w:lineRule="exact"/>
        <w:jc w:val="left"/>
        <w:rPr>
          <w:rFonts w:asciiTheme="majorEastAsia" w:hAnsiTheme="majorEastAsia" w:eastAsiaTheme="majorEastAsia"/>
          <w:bCs/>
          <w:sz w:val="22"/>
          <w:szCs w:val="22"/>
        </w:rPr>
      </w:pPr>
      <w:r>
        <w:rPr>
          <w:rFonts w:hint="eastAsia" w:asciiTheme="majorEastAsia" w:hAnsiTheme="majorEastAsia" w:eastAsiaTheme="majorEastAsia"/>
          <w:bCs/>
          <w:sz w:val="22"/>
          <w:szCs w:val="22"/>
        </w:rPr>
        <w:t>17、配置清单</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1</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r>
        <w:rPr>
          <w:rFonts w:hint="eastAsia" w:cs="Courier New" w:asciiTheme="minorEastAsia" w:hAnsiTheme="minorEastAsia" w:eastAsiaTheme="minorEastAsia"/>
          <w:sz w:val="22"/>
          <w:szCs w:val="22"/>
          <w:shd w:val="clear" w:color="auto" w:fill="FFFFFF"/>
        </w:rPr>
        <w:t>主机                         一台</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2</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r>
        <w:rPr>
          <w:rFonts w:hint="eastAsia" w:cs="Courier New" w:asciiTheme="minorEastAsia" w:hAnsiTheme="minorEastAsia" w:eastAsiaTheme="minorEastAsia"/>
          <w:sz w:val="22"/>
          <w:szCs w:val="22"/>
          <w:shd w:val="clear" w:color="auto" w:fill="FFFFFF"/>
        </w:rPr>
        <w:t xml:space="preserve">说明书                       一份     </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3</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、电源线、</w:t>
      </w:r>
      <w:r>
        <w:rPr>
          <w:rFonts w:hint="eastAsia" w:cs="Courier New" w:asciiTheme="minorEastAsia" w:hAnsiTheme="minorEastAsia" w:eastAsiaTheme="minorEastAsia"/>
          <w:sz w:val="22"/>
          <w:szCs w:val="22"/>
          <w:shd w:val="clear" w:color="auto" w:fill="FFFFFF"/>
        </w:rPr>
        <w:t>数据线、             一套</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4</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r>
        <w:rPr>
          <w:rFonts w:hint="eastAsia" w:cs="Courier New" w:asciiTheme="minorEastAsia" w:hAnsiTheme="minorEastAsia" w:eastAsiaTheme="minorEastAsia"/>
          <w:sz w:val="22"/>
          <w:szCs w:val="22"/>
          <w:shd w:val="clear" w:color="auto" w:fill="FFFFFF"/>
        </w:rPr>
        <w:t>欧姆龙电子血压计、           一个</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5</w:t>
      </w:r>
      <w:r>
        <w:rPr>
          <w:rFonts w:hint="eastAsia" w:cs="Courier New"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、热敏打印纸</w:t>
      </w:r>
      <w:r>
        <w:rPr>
          <w:rFonts w:hint="eastAsia" w:cs="Courier New" w:asciiTheme="minorEastAsia" w:hAnsiTheme="minorEastAsia" w:eastAsiaTheme="minorEastAsia"/>
          <w:sz w:val="22"/>
          <w:szCs w:val="22"/>
          <w:shd w:val="clear" w:color="auto" w:fill="FFFFFF"/>
        </w:rPr>
        <w:t>、                 一卷</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6）</w:t>
      </w:r>
      <w:r>
        <w:rPr>
          <w:rFonts w:cs="Courier New" w:asciiTheme="minorEastAsia" w:hAnsiTheme="minorEastAsia" w:eastAsiaTheme="minorEastAsia"/>
          <w:sz w:val="22"/>
          <w:szCs w:val="22"/>
          <w:shd w:val="clear" w:color="auto" w:fill="FFFFFF"/>
        </w:rPr>
        <w:t>、</w:t>
      </w:r>
      <w:r>
        <w:rPr>
          <w:rFonts w:hint="eastAsia" w:cs="Courier New" w:asciiTheme="minorEastAsia" w:hAnsiTheme="minorEastAsia" w:eastAsiaTheme="minorEastAsia"/>
          <w:sz w:val="22"/>
          <w:szCs w:val="22"/>
          <w:shd w:val="clear" w:color="auto" w:fill="FFFFFF"/>
        </w:rPr>
        <w:t>保修卡                       一份</w:t>
      </w:r>
    </w:p>
    <w:p>
      <w:pPr>
        <w:spacing w:line="360" w:lineRule="auto"/>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四、基本要求</w:t>
      </w:r>
      <w:bookmarkEnd w:id="27"/>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1</w:t>
      </w:r>
      <w:r>
        <w:rPr>
          <w:rFonts w:hint="eastAsia" w:cs="Courier New" w:asciiTheme="minorEastAsia" w:hAnsiTheme="minorEastAsia" w:eastAsiaTheme="minorEastAsia"/>
          <w:sz w:val="22"/>
          <w:szCs w:val="22"/>
          <w:shd w:val="clear" w:color="auto" w:fill="FFFFFF"/>
        </w:rPr>
        <w:t>、本项目为交钥匙项目，中标人承包及负责招标文件对中标人要求的一切事宜及责任，包括项目方案、标的采购、运输、保管、安装、调试、验收、培训、相关部门验收及质保期内的维护保养、相关服务、一切税费等，采购人将不再支付任何费用。</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2、提供的设备必须是在中国范围内合法销售的，原厂生产的、全新的、未使用过的（包括零部件，专用工具等）、质量可靠的成熟产品。如国家对设备有强制认证要求，则投标人需提供设备的</w:t>
      </w:r>
      <w:r>
        <w:rPr>
          <w:rFonts w:cs="Courier New" w:asciiTheme="minorEastAsia" w:hAnsiTheme="minorEastAsia" w:eastAsiaTheme="minorEastAsia"/>
          <w:sz w:val="22"/>
          <w:szCs w:val="22"/>
          <w:shd w:val="clear" w:color="auto" w:fill="FFFFFF"/>
        </w:rPr>
        <w:t>3C</w:t>
      </w:r>
      <w:r>
        <w:rPr>
          <w:rFonts w:hint="eastAsia" w:cs="Courier New" w:asciiTheme="minorEastAsia" w:hAnsiTheme="minorEastAsia" w:eastAsiaTheme="minorEastAsia"/>
          <w:sz w:val="22"/>
          <w:szCs w:val="22"/>
          <w:shd w:val="clear" w:color="auto" w:fill="FFFFFF"/>
        </w:rPr>
        <w:t>认证证书。</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3、中标人应提供包括但不限于满足设备安装、使用和维护的技术文件，如设备和附件清单、保修服务卡等。</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4、投标人所投货物为知名品牌，用户需求书所描述的技术参数及相关要求为基本要求，投标人可根据设备的实际情况，选用同档次、功能相近，技术参数优于或等于用户需求书要求的设备进行投标，投标人所提供的货物的性能不能低于招标文件需求，且要清楚列明货物的品牌、型号、详细技术参数等相关内容。投标人在技术性能参数响应及偏离表中能用数值说明的</w:t>
      </w:r>
      <w:r>
        <w:rPr>
          <w:rFonts w:cs="Courier New" w:asciiTheme="minorEastAsia" w:hAnsiTheme="minorEastAsia" w:eastAsiaTheme="minorEastAsia"/>
          <w:sz w:val="22"/>
          <w:szCs w:val="22"/>
          <w:shd w:val="clear" w:color="auto" w:fill="FFFFFF"/>
        </w:rPr>
        <w:t>,</w:t>
      </w:r>
      <w:r>
        <w:rPr>
          <w:rFonts w:hint="eastAsia" w:cs="Courier New" w:asciiTheme="minorEastAsia" w:hAnsiTheme="minorEastAsia" w:eastAsiaTheme="minorEastAsia"/>
          <w:sz w:val="22"/>
          <w:szCs w:val="22"/>
          <w:shd w:val="clear" w:color="auto" w:fill="FFFFFF"/>
        </w:rPr>
        <w:t>必须列出具体数值。</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5、描述的技术参数为基本要求，如涉及材质、品牌、型号等仅为方便描述而没有限制。投标人可根据设备的实际情况，选用同档次、功能相近，技术参数优于或等于用户需求书要求的设备进行投标，并列明详细的技术参数、品牌及型号等。</w:t>
      </w:r>
    </w:p>
    <w:p>
      <w:pPr>
        <w:spacing w:line="360" w:lineRule="auto"/>
        <w:rPr>
          <w:rFonts w:cs="Courier New" w:asciiTheme="minorEastAsia" w:hAnsiTheme="minorEastAsia" w:eastAsiaTheme="minorEastAsia"/>
          <w:sz w:val="22"/>
          <w:szCs w:val="22"/>
          <w:shd w:val="clear" w:color="auto" w:fill="FFFFFF"/>
        </w:rPr>
      </w:pPr>
      <w:bookmarkStart w:id="37" w:name="_Toc23944648"/>
      <w:r>
        <w:rPr>
          <w:rFonts w:hint="eastAsia" w:cs="Courier New" w:asciiTheme="minorEastAsia" w:hAnsiTheme="minorEastAsia" w:eastAsiaTheme="minorEastAsia"/>
          <w:sz w:val="22"/>
          <w:szCs w:val="22"/>
          <w:shd w:val="clear" w:color="auto" w:fill="FFFFFF"/>
        </w:rPr>
        <w:t>五、售后服务及其他要求</w:t>
      </w:r>
      <w:bookmarkEnd w:id="37"/>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1</w:t>
      </w:r>
      <w:r>
        <w:rPr>
          <w:rFonts w:hint="eastAsia" w:cs="Courier New" w:asciiTheme="minorEastAsia" w:hAnsiTheme="minorEastAsia" w:eastAsiaTheme="minorEastAsia"/>
          <w:sz w:val="22"/>
          <w:szCs w:val="22"/>
          <w:shd w:val="clear" w:color="auto" w:fill="FFFFFF"/>
        </w:rPr>
        <w:t>、中标人或投标设备生产厂家应在广东省内设有维修服务中心，备有常用的零部件；具有固定的维修工程师，有稳定的售后服务体系，能提供良好的售后服务。在签定合同时，采购人有权要求中标人提供原装产品的供货证明原件，及售后服务承诺函原件。</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2</w:t>
      </w:r>
      <w:r>
        <w:rPr>
          <w:rFonts w:hint="eastAsia" w:cs="Courier New" w:asciiTheme="minorEastAsia" w:hAnsiTheme="minorEastAsia" w:eastAsiaTheme="minorEastAsia"/>
          <w:sz w:val="22"/>
          <w:szCs w:val="22"/>
          <w:shd w:val="clear" w:color="auto" w:fill="FFFFFF"/>
        </w:rPr>
        <w:t>、本项目所有产品免费保修期按厂家标准执行，但不少于用户需求书中要求的质保期，所有设备的包换和包修服务遵从国家三包规定，并提供终身跟踪服务；质保期自供需双方代表在设备验收单上签字之日起计算。</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3</w:t>
      </w:r>
      <w:r>
        <w:rPr>
          <w:rFonts w:hint="eastAsia" w:cs="Courier New" w:asciiTheme="minorEastAsia" w:hAnsiTheme="minorEastAsia" w:eastAsiaTheme="minorEastAsia"/>
          <w:sz w:val="22"/>
          <w:szCs w:val="22"/>
          <w:shd w:val="clear" w:color="auto" w:fill="FFFFFF"/>
        </w:rPr>
        <w:t>、在质保期内，产品在使用中出现故障，产品的零、部件在外观上出现物理损坏等情况时，中标人不能单方面判断为人为损坏或非正常损坏而拒绝保修，除非中标人能提供国家认可的、权威的鉴定单位出具的鉴定报告。</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4</w:t>
      </w:r>
      <w:r>
        <w:rPr>
          <w:rFonts w:hint="eastAsia" w:cs="Courier New" w:asciiTheme="minorEastAsia" w:hAnsiTheme="minorEastAsia" w:eastAsiaTheme="minorEastAsia"/>
          <w:sz w:val="22"/>
          <w:szCs w:val="22"/>
          <w:shd w:val="clear" w:color="auto" w:fill="FFFFFF"/>
        </w:rPr>
        <w:t>、质保期内用户所购设备各部件发生非人为故障，中标人应免费上门更换同种品牌规格型号的新部件。设备发生人为故障的，中标人应上门更换同种品牌规格型号的新部件，只收零配件成本，不加收其它任何费用。</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5</w:t>
      </w:r>
      <w:r>
        <w:rPr>
          <w:rFonts w:hint="eastAsia" w:cs="Courier New" w:asciiTheme="minorEastAsia" w:hAnsiTheme="minorEastAsia" w:eastAsiaTheme="minorEastAsia"/>
          <w:sz w:val="22"/>
          <w:szCs w:val="22"/>
          <w:shd w:val="clear" w:color="auto" w:fill="FFFFFF"/>
        </w:rPr>
        <w:t>、中标人提供货物免费安装、调试、培训使用；</w:t>
      </w:r>
      <w:r>
        <w:rPr>
          <w:rFonts w:cs="Courier New" w:asciiTheme="minorEastAsia" w:hAnsiTheme="minorEastAsia" w:eastAsiaTheme="minorEastAsia"/>
          <w:sz w:val="22"/>
          <w:szCs w:val="22"/>
          <w:shd w:val="clear" w:color="auto" w:fill="FFFFFF"/>
        </w:rPr>
        <w:t xml:space="preserve">24 </w:t>
      </w:r>
      <w:r>
        <w:rPr>
          <w:rFonts w:hint="eastAsia" w:cs="Courier New" w:asciiTheme="minorEastAsia" w:hAnsiTheme="minorEastAsia" w:eastAsiaTheme="minorEastAsia"/>
          <w:sz w:val="22"/>
          <w:szCs w:val="22"/>
          <w:shd w:val="clear" w:color="auto" w:fill="FFFFFF"/>
        </w:rPr>
        <w:t>小时免费提供技术支持；永久性免费提供电话技术指导和咨询服务；免费保修期内非用户单位的人为原因而出现产品质量及安装问题，由中标人负责包修、包换或包退，并承担因此而产生的一切费用。所有货物保修服务方式均为中标人上门保修，即由中标人派人员到设备使用现场维修，由此产生的一切费用均由中标人承担。</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6</w:t>
      </w:r>
      <w:r>
        <w:rPr>
          <w:rFonts w:hint="eastAsia" w:cs="Courier New" w:asciiTheme="minorEastAsia" w:hAnsiTheme="minorEastAsia" w:eastAsiaTheme="minorEastAsia"/>
          <w:sz w:val="22"/>
          <w:szCs w:val="22"/>
          <w:shd w:val="clear" w:color="auto" w:fill="FFFFFF"/>
        </w:rPr>
        <w:t>、设备有故障通知中标人，中标人须在</w:t>
      </w:r>
      <w:r>
        <w:rPr>
          <w:rFonts w:cs="Courier New" w:asciiTheme="minorEastAsia" w:hAnsiTheme="minorEastAsia" w:eastAsiaTheme="minorEastAsia"/>
          <w:sz w:val="22"/>
          <w:szCs w:val="22"/>
          <w:shd w:val="clear" w:color="auto" w:fill="FFFFFF"/>
        </w:rPr>
        <w:t xml:space="preserve">2 </w:t>
      </w:r>
      <w:r>
        <w:rPr>
          <w:rFonts w:hint="eastAsia" w:cs="Courier New" w:asciiTheme="minorEastAsia" w:hAnsiTheme="minorEastAsia" w:eastAsiaTheme="minorEastAsia"/>
          <w:sz w:val="22"/>
          <w:szCs w:val="22"/>
          <w:shd w:val="clear" w:color="auto" w:fill="FFFFFF"/>
        </w:rPr>
        <w:t>小时内响应，并安排有资质的技术人员</w:t>
      </w:r>
      <w:r>
        <w:rPr>
          <w:rFonts w:cs="Courier New" w:asciiTheme="minorEastAsia" w:hAnsiTheme="minorEastAsia" w:eastAsiaTheme="minorEastAsia"/>
          <w:sz w:val="22"/>
          <w:szCs w:val="22"/>
          <w:shd w:val="clear" w:color="auto" w:fill="FFFFFF"/>
        </w:rPr>
        <w:t xml:space="preserve">24 </w:t>
      </w:r>
      <w:r>
        <w:rPr>
          <w:rFonts w:hint="eastAsia" w:cs="Courier New" w:asciiTheme="minorEastAsia" w:hAnsiTheme="minorEastAsia" w:eastAsiaTheme="minorEastAsia"/>
          <w:sz w:val="22"/>
          <w:szCs w:val="22"/>
          <w:shd w:val="clear" w:color="auto" w:fill="FFFFFF"/>
        </w:rPr>
        <w:t>小时内上门维修，</w:t>
      </w:r>
      <w:r>
        <w:rPr>
          <w:rFonts w:cs="Courier New" w:asciiTheme="minorEastAsia" w:hAnsiTheme="minorEastAsia" w:eastAsiaTheme="minorEastAsia"/>
          <w:sz w:val="22"/>
          <w:szCs w:val="22"/>
          <w:shd w:val="clear" w:color="auto" w:fill="FFFFFF"/>
        </w:rPr>
        <w:t xml:space="preserve">2 </w:t>
      </w:r>
      <w:r>
        <w:rPr>
          <w:rFonts w:hint="eastAsia" w:cs="Courier New" w:asciiTheme="minorEastAsia" w:hAnsiTheme="minorEastAsia" w:eastAsiaTheme="minorEastAsia"/>
          <w:sz w:val="22"/>
          <w:szCs w:val="22"/>
          <w:shd w:val="clear" w:color="auto" w:fill="FFFFFF"/>
        </w:rPr>
        <w:t>自然日内保证修复正常（招标设备另有要求的，从其要求）。未能按时修复的，质保期相应顺延。其延误造成的损失由中标人负担。</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7</w:t>
      </w:r>
      <w:r>
        <w:rPr>
          <w:rFonts w:hint="eastAsia" w:cs="Courier New" w:asciiTheme="minorEastAsia" w:hAnsiTheme="minorEastAsia" w:eastAsiaTheme="minorEastAsia"/>
          <w:sz w:val="22"/>
          <w:szCs w:val="22"/>
          <w:shd w:val="clear" w:color="auto" w:fill="FFFFFF"/>
        </w:rPr>
        <w:t>、质保期内，中标人应定期回访，保证设备正常高效运作。</w:t>
      </w:r>
    </w:p>
    <w:p>
      <w:pPr>
        <w:spacing w:line="360" w:lineRule="auto"/>
        <w:rPr>
          <w:rFonts w:cs="Courier New" w:asciiTheme="minorEastAsia" w:hAnsiTheme="minorEastAsia" w:eastAsiaTheme="minorEastAsia"/>
          <w:sz w:val="22"/>
          <w:szCs w:val="22"/>
          <w:shd w:val="clear" w:color="auto" w:fill="FFFFFF"/>
        </w:rPr>
      </w:pPr>
      <w:bookmarkStart w:id="38" w:name="_Toc23944649"/>
      <w:r>
        <w:rPr>
          <w:rFonts w:hint="eastAsia" w:cs="Courier New" w:asciiTheme="minorEastAsia" w:hAnsiTheme="minorEastAsia" w:eastAsiaTheme="minorEastAsia"/>
          <w:sz w:val="22"/>
          <w:szCs w:val="22"/>
          <w:shd w:val="clear" w:color="auto" w:fill="FFFFFF"/>
        </w:rPr>
        <w:t>六、安装调试和验收要求</w:t>
      </w:r>
      <w:bookmarkEnd w:id="38"/>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1</w:t>
      </w:r>
      <w:r>
        <w:rPr>
          <w:rFonts w:hint="eastAsia" w:cs="Courier New" w:asciiTheme="minorEastAsia" w:hAnsiTheme="minorEastAsia" w:eastAsiaTheme="minorEastAsia"/>
          <w:sz w:val="22"/>
          <w:szCs w:val="22"/>
          <w:shd w:val="clear" w:color="auto" w:fill="FFFFFF"/>
        </w:rPr>
        <w:t>、设备到货后，中标人（或产品厂商）应派出有经验的工程技术人员到现场进行安装。并将设备调试到最佳状态，采购人给予相应的配合。</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2</w:t>
      </w:r>
      <w:r>
        <w:rPr>
          <w:rFonts w:hint="eastAsia" w:cs="Courier New" w:asciiTheme="minorEastAsia" w:hAnsiTheme="minorEastAsia" w:eastAsiaTheme="minorEastAsia"/>
          <w:sz w:val="22"/>
          <w:szCs w:val="22"/>
          <w:shd w:val="clear" w:color="auto" w:fill="FFFFFF"/>
        </w:rPr>
        <w:t>、中标人（或产品厂商）根据现场情况和采购人要求及有关国家技术标准、规范进行安装和验收。</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3</w:t>
      </w:r>
      <w:r>
        <w:rPr>
          <w:rFonts w:hint="eastAsia" w:cs="Courier New" w:asciiTheme="minorEastAsia" w:hAnsiTheme="minorEastAsia" w:eastAsiaTheme="minorEastAsia"/>
          <w:sz w:val="22"/>
          <w:szCs w:val="22"/>
          <w:shd w:val="clear" w:color="auto" w:fill="FFFFFF"/>
        </w:rPr>
        <w:t>、所有进口货物在验收货物时，投标人要提供符合中华人民共和国进出口的有关规定及文书、中文说明书等。</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4</w:t>
      </w:r>
      <w:r>
        <w:rPr>
          <w:rFonts w:hint="eastAsia" w:cs="Courier New" w:asciiTheme="minorEastAsia" w:hAnsiTheme="minorEastAsia" w:eastAsiaTheme="minorEastAsia"/>
          <w:sz w:val="22"/>
          <w:szCs w:val="22"/>
          <w:shd w:val="clear" w:color="auto" w:fill="FFFFFF"/>
        </w:rPr>
        <w:t>、供应商所提供的设备如在实际供货时已经废型，则必须用供货时该厂家的最新产品提供给用户单位，其性能指标不得低于所报设备，并且价格不变。</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5</w:t>
      </w:r>
      <w:r>
        <w:rPr>
          <w:rFonts w:hint="eastAsia" w:cs="Courier New" w:asciiTheme="minorEastAsia" w:hAnsiTheme="minorEastAsia" w:eastAsiaTheme="minorEastAsia"/>
          <w:sz w:val="22"/>
          <w:szCs w:val="22"/>
          <w:shd w:val="clear" w:color="auto" w:fill="FFFFFF"/>
        </w:rPr>
        <w:t>、所有设备均由中标人免费送货并安装及调试、参与验收，安装过程必须在用户指派的人员参与下进行。安装完成，中标人与采购人一同进行验收，验收文件经双方签字确认。</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6</w:t>
      </w:r>
      <w:r>
        <w:rPr>
          <w:rFonts w:hint="eastAsia" w:cs="Courier New" w:asciiTheme="minorEastAsia" w:hAnsiTheme="minorEastAsia" w:eastAsiaTheme="minorEastAsia"/>
          <w:sz w:val="22"/>
          <w:szCs w:val="22"/>
          <w:shd w:val="clear" w:color="auto" w:fill="FFFFFF"/>
        </w:rPr>
        <w:t>、测试中如发现功能上不符合用户需求和合同时，将被看作性能不合格，用户有权拒收并要求赔偿。</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7</w:t>
      </w:r>
      <w:r>
        <w:rPr>
          <w:rFonts w:hint="eastAsia" w:cs="Courier New" w:asciiTheme="minorEastAsia" w:hAnsiTheme="minorEastAsia" w:eastAsiaTheme="minorEastAsia"/>
          <w:sz w:val="22"/>
          <w:szCs w:val="22"/>
          <w:shd w:val="clear" w:color="auto" w:fill="FFFFFF"/>
        </w:rPr>
        <w:t>、供应商应负责在项目验收时将系统的全部有关产品说明书、原厂家安装手册、技术文件、资料、及安装、测试、验收报告等文档汇集成册交付用户方。</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cs="Courier New" w:asciiTheme="minorEastAsia" w:hAnsiTheme="minorEastAsia" w:eastAsiaTheme="minorEastAsia"/>
          <w:sz w:val="22"/>
          <w:szCs w:val="22"/>
          <w:shd w:val="clear" w:color="auto" w:fill="FFFFFF"/>
        </w:rPr>
        <w:t>8</w:t>
      </w:r>
      <w:r>
        <w:rPr>
          <w:rFonts w:hint="eastAsia" w:cs="Courier New" w:asciiTheme="minorEastAsia" w:hAnsiTheme="minorEastAsia" w:eastAsiaTheme="minorEastAsia"/>
          <w:sz w:val="22"/>
          <w:szCs w:val="22"/>
          <w:shd w:val="clear" w:color="auto" w:fill="FFFFFF"/>
        </w:rPr>
        <w:t>、供应商必须为采购人提供所购买设备的完整有效培训，确保采购方掌握有关产品的安装、配置、使用、检测、维护等方面的知识，能够熟练地使用、维护、配置相关产品。培训所需的配套条件、教材等由供应商免费提供。</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★9、中标单位在供货安装过程中必须采取足够的安全措施，确保施工的安全，并自行负责相关安全责任。（提供书面承诺函）</w:t>
      </w:r>
    </w:p>
    <w:p>
      <w:pPr>
        <w:spacing w:line="360" w:lineRule="auto"/>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七、违约责任与赔偿损失</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1、中标人提供的货物及服务不符合招标文件、投标文件的，采购人有权拒收，并且中标人须向采购人支付本项目合同总价5%的违约金。</w:t>
      </w:r>
    </w:p>
    <w:p>
      <w:pPr>
        <w:spacing w:line="360" w:lineRule="auto"/>
        <w:ind w:firstLine="440" w:firstLineChars="200"/>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2、中标人未能按本招标文件规定的交货时间提供货物及服务，每延误一个日历日赔付额度为人民币10000.00 元，延误超过15个日历天采购人将解除合同，由此造成的采购人经济损失由中标承担。（提供书面承诺函）。</w:t>
      </w: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spacing w:line="360" w:lineRule="auto"/>
        <w:ind w:firstLine="440" w:firstLineChars="200"/>
        <w:rPr>
          <w:rFonts w:cs="Courier New" w:asciiTheme="minorEastAsia" w:hAnsiTheme="minorEastAsia" w:eastAsiaTheme="minorEastAsia"/>
          <w:sz w:val="22"/>
          <w:szCs w:val="22"/>
          <w:shd w:val="clear" w:color="auto" w:fill="FFFFFF"/>
        </w:rPr>
      </w:pPr>
    </w:p>
    <w:p>
      <w:pPr>
        <w:pStyle w:val="2"/>
        <w:keepNext w:val="0"/>
        <w:keepLines w:val="0"/>
        <w:spacing w:before="0" w:after="0" w:line="276" w:lineRule="auto"/>
        <w:jc w:val="center"/>
        <w:rPr>
          <w:rFonts w:hAnsi="宋体"/>
          <w:sz w:val="36"/>
          <w:szCs w:val="28"/>
        </w:rPr>
      </w:pPr>
      <w:bookmarkStart w:id="39" w:name="_Toc67490474"/>
      <w:r>
        <w:rPr>
          <w:rFonts w:hint="eastAsia" w:hAnsi="宋体"/>
          <w:sz w:val="36"/>
          <w:szCs w:val="28"/>
        </w:rPr>
        <w:t>第三章  供应商须知</w:t>
      </w:r>
      <w:bookmarkEnd w:id="28"/>
      <w:bookmarkEnd w:id="29"/>
      <w:bookmarkEnd w:id="30"/>
      <w:bookmarkEnd w:id="31"/>
      <w:bookmarkEnd w:id="32"/>
      <w:bookmarkEnd w:id="33"/>
      <w:bookmarkEnd w:id="34"/>
      <w:bookmarkEnd w:id="35"/>
      <w:bookmarkEnd w:id="36"/>
      <w:bookmarkEnd w:id="39"/>
      <w:bookmarkStart w:id="40" w:name="_Toc466786434"/>
      <w:bookmarkStart w:id="41" w:name="_Toc507407359"/>
      <w:bookmarkStart w:id="42" w:name="_Toc102277756"/>
      <w:bookmarkStart w:id="43" w:name="_Toc6882675"/>
      <w:bookmarkStart w:id="44" w:name="_Toc6968687"/>
      <w:bookmarkStart w:id="45" w:name="_Toc467236724"/>
      <w:bookmarkStart w:id="46" w:name="_Toc480010692"/>
      <w:bookmarkStart w:id="47" w:name="_Toc480020241"/>
      <w:bookmarkStart w:id="48" w:name="_Toc468606013"/>
      <w:bookmarkStart w:id="49" w:name="_Toc479991566"/>
      <w:bookmarkStart w:id="50" w:name="_Toc480171863"/>
      <w:bookmarkStart w:id="51" w:name="_Toc467987807"/>
      <w:bookmarkStart w:id="52" w:name="_Toc458262599"/>
      <w:bookmarkStart w:id="53" w:name="_Toc480021037"/>
      <w:bookmarkStart w:id="54" w:name="_Toc48207756"/>
      <w:bookmarkStart w:id="55" w:name="_Toc468157520"/>
    </w:p>
    <w:p>
      <w:pPr>
        <w:spacing w:line="360" w:lineRule="auto"/>
        <w:rPr>
          <w:rFonts w:cs="Courier New" w:asciiTheme="minorEastAsia" w:hAnsiTheme="minorEastAsia" w:eastAsiaTheme="minorEastAsia"/>
          <w:b/>
          <w:sz w:val="22"/>
          <w:szCs w:val="22"/>
          <w:shd w:val="clear" w:color="auto" w:fill="FFFFFF"/>
        </w:rPr>
      </w:pPr>
      <w:r>
        <w:rPr>
          <w:rFonts w:cs="Courier New" w:asciiTheme="minorEastAsia" w:hAnsiTheme="minorEastAsia" w:eastAsiaTheme="minorEastAsia"/>
          <w:b/>
          <w:sz w:val="22"/>
          <w:szCs w:val="22"/>
          <w:shd w:val="clear" w:color="auto" w:fill="FFFFFF"/>
        </w:rPr>
        <w:t>一</w:t>
      </w:r>
      <w:r>
        <w:rPr>
          <w:rFonts w:hint="eastAsia" w:cs="Courier New" w:asciiTheme="minorEastAsia" w:hAnsiTheme="minorEastAsia" w:eastAsiaTheme="minorEastAsia"/>
          <w:b/>
          <w:sz w:val="22"/>
          <w:szCs w:val="22"/>
          <w:shd w:val="clear" w:color="auto" w:fill="FFFFFF"/>
        </w:rPr>
        <w:t>.</w:t>
      </w:r>
      <w:r>
        <w:rPr>
          <w:rFonts w:cs="Courier New" w:asciiTheme="minorEastAsia" w:hAnsiTheme="minorEastAsia" w:eastAsiaTheme="minorEastAsia"/>
          <w:b/>
          <w:sz w:val="22"/>
          <w:szCs w:val="22"/>
          <w:shd w:val="clear" w:color="auto" w:fill="FFFFFF"/>
        </w:rPr>
        <w:t>前附表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序号</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条款名称</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1</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项目编号</w:t>
            </w:r>
          </w:p>
        </w:tc>
        <w:tc>
          <w:tcPr>
            <w:tcW w:w="6168" w:type="dxa"/>
            <w:vAlign w:val="center"/>
          </w:tcPr>
          <w:p>
            <w:pPr>
              <w:pStyle w:val="16"/>
              <w:ind w:firstLine="400"/>
              <w:jc w:val="center"/>
              <w:rPr>
                <w:rFonts w:asciiTheme="minorEastAsia" w:hAnsiTheme="minorEastAsia" w:eastAsiaTheme="minorEastAsia"/>
                <w:sz w:val="20"/>
              </w:rPr>
            </w:pPr>
            <w:r>
              <w:rPr>
                <w:rFonts w:hint="eastAsia" w:ascii="宋体" w:hAnsi="宋体" w:cs="宋体"/>
                <w:sz w:val="22"/>
                <w:szCs w:val="22"/>
              </w:rPr>
              <w:t>ZTFS2021060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2</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项目名称</w:t>
            </w:r>
          </w:p>
        </w:tc>
        <w:tc>
          <w:tcPr>
            <w:tcW w:w="6168"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东莞市中堂镇社区卫生服务中心公共卫生服务设备购置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3</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包组情况</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共1包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4</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采购资金预算金额</w:t>
            </w:r>
          </w:p>
        </w:tc>
        <w:tc>
          <w:tcPr>
            <w:tcW w:w="6168" w:type="dxa"/>
            <w:vAlign w:val="center"/>
          </w:tcPr>
          <w:p>
            <w:pPr>
              <w:pStyle w:val="21"/>
              <w:spacing w:line="480" w:lineRule="exact"/>
              <w:ind w:firstLine="440"/>
              <w:jc w:val="center"/>
              <w:rPr>
                <w:rFonts w:hAnsi="宋体"/>
                <w:sz w:val="22"/>
              </w:rPr>
            </w:pPr>
            <w:r>
              <w:rPr>
                <w:rFonts w:hAnsi="宋体" w:cs="宋体"/>
                <w:sz w:val="22"/>
                <w:szCs w:val="22"/>
              </w:rPr>
              <w:t>¥</w:t>
            </w:r>
            <w:r>
              <w:rPr>
                <w:rFonts w:hint="eastAsia" w:hAnsi="宋体" w:cs="宋体"/>
                <w:sz w:val="22"/>
                <w:szCs w:val="22"/>
              </w:rPr>
              <w:t>690</w:t>
            </w:r>
            <w:r>
              <w:rPr>
                <w:rFonts w:hAnsi="宋体" w:cs="宋体"/>
                <w:sz w:val="22"/>
                <w:szCs w:val="22"/>
              </w:rPr>
              <w:t>,</w:t>
            </w:r>
            <w:r>
              <w:rPr>
                <w:rFonts w:hint="eastAsia" w:hAnsi="宋体" w:cs="宋体"/>
                <w:sz w:val="22"/>
                <w:szCs w:val="22"/>
              </w:rPr>
              <w:t>000</w:t>
            </w:r>
            <w:r>
              <w:rPr>
                <w:rFonts w:hAnsi="宋体" w:cs="宋体"/>
                <w:sz w:val="22"/>
                <w:szCs w:val="22"/>
              </w:rPr>
              <w:t>.</w:t>
            </w:r>
            <w:r>
              <w:rPr>
                <w:rFonts w:hint="eastAsia" w:hAnsi="宋体" w:cs="宋体"/>
                <w:sz w:val="22"/>
                <w:szCs w:val="22"/>
              </w:rPr>
              <w:t>00</w:t>
            </w:r>
            <w:r>
              <w:rPr>
                <w:rFonts w:hAnsi="宋体" w:cs="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5</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采购方式</w:t>
            </w:r>
          </w:p>
        </w:tc>
        <w:tc>
          <w:tcPr>
            <w:tcW w:w="6168"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6</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开标方式</w:t>
            </w:r>
          </w:p>
        </w:tc>
        <w:tc>
          <w:tcPr>
            <w:tcW w:w="6168"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现场</w:t>
            </w:r>
            <w:r>
              <w:rPr>
                <w:rFonts w:asciiTheme="minorEastAsia" w:hAnsiTheme="minorEastAsia" w:eastAsiaTheme="minorEastAsia"/>
                <w:sz w:val="20"/>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7</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评标方式</w:t>
            </w:r>
          </w:p>
        </w:tc>
        <w:tc>
          <w:tcPr>
            <w:tcW w:w="6168"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现场</w:t>
            </w:r>
            <w:r>
              <w:rPr>
                <w:rFonts w:asciiTheme="minorEastAsia" w:hAnsiTheme="minorEastAsia" w:eastAsiaTheme="minorEastAsia"/>
                <w:sz w:val="20"/>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8</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评标办法</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合同包1（</w:t>
            </w:r>
            <w:r>
              <w:rPr>
                <w:rFonts w:hint="eastAsia" w:asciiTheme="minorEastAsia" w:hAnsiTheme="minorEastAsia" w:eastAsiaTheme="minorEastAsia"/>
                <w:sz w:val="20"/>
              </w:rPr>
              <w:t>公共卫生服务设备</w:t>
            </w:r>
            <w:r>
              <w:rPr>
                <w:rFonts w:asciiTheme="minorEastAsia" w:hAnsiTheme="minorEastAsia" w:eastAsiaTheme="minorEastAsia"/>
                <w:sz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9</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报价形式</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合同包1（</w:t>
            </w:r>
            <w:r>
              <w:rPr>
                <w:rFonts w:hint="eastAsia" w:asciiTheme="minorEastAsia" w:hAnsiTheme="minorEastAsia" w:eastAsiaTheme="minorEastAsia"/>
                <w:sz w:val="20"/>
              </w:rPr>
              <w:t>公共卫生服务设备</w:t>
            </w:r>
            <w:r>
              <w:rPr>
                <w:rFonts w:asciiTheme="minorEastAsia" w:hAnsiTheme="minorEastAsia" w:eastAsiaTheme="minorEastAsia"/>
                <w:sz w:val="2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0</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报价要求</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各合同包报价不超过预算总价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1</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现场踏勘</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2</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报价有效期</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13</w:t>
            </w:r>
          </w:p>
        </w:tc>
        <w:tc>
          <w:tcPr>
            <w:tcW w:w="1843"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投标</w:t>
            </w:r>
            <w:r>
              <w:rPr>
                <w:rFonts w:asciiTheme="minorEastAsia" w:hAnsiTheme="minorEastAsia" w:eastAsiaTheme="minorEastAsia"/>
                <w:sz w:val="20"/>
              </w:rPr>
              <w:t>保证金</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不收取</w:t>
            </w:r>
            <w:r>
              <w:rPr>
                <w:rFonts w:hint="eastAsia" w:asciiTheme="minorEastAsia" w:hAnsiTheme="minorEastAsia" w:eastAsiaTheme="minorEastAsia"/>
                <w:sz w:val="20"/>
              </w:rPr>
              <w:t>投标</w:t>
            </w:r>
            <w:r>
              <w:rPr>
                <w:rFonts w:asciiTheme="minorEastAsia" w:hAnsiTheme="minorEastAsia" w:eastAsiaTheme="minorEastAsia"/>
                <w:sz w:val="20"/>
              </w:rPr>
              <w:t>保证金</w:t>
            </w:r>
            <w:r>
              <w:rPr>
                <w:rFonts w:hint="eastAsia" w:asciiTheme="minorEastAsia" w:hAnsiTheme="minorEastAsia" w:eastAsiaTheme="minor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4</w:t>
            </w:r>
          </w:p>
        </w:tc>
        <w:tc>
          <w:tcPr>
            <w:tcW w:w="1843"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投标</w:t>
            </w:r>
            <w:r>
              <w:rPr>
                <w:rFonts w:asciiTheme="minorEastAsia" w:hAnsiTheme="minorEastAsia" w:eastAsiaTheme="minorEastAsia"/>
                <w:sz w:val="20"/>
              </w:rPr>
              <w:t>文件要求</w:t>
            </w:r>
          </w:p>
        </w:tc>
        <w:tc>
          <w:tcPr>
            <w:tcW w:w="6168" w:type="dxa"/>
            <w:vAlign w:val="center"/>
          </w:tcPr>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w:t>
            </w:r>
            <w:r>
              <w:rPr>
                <w:rFonts w:hint="eastAsia" w:asciiTheme="minorEastAsia" w:hAnsiTheme="minorEastAsia" w:eastAsiaTheme="minorEastAsia"/>
                <w:sz w:val="20"/>
              </w:rPr>
              <w:t>1</w:t>
            </w:r>
            <w:r>
              <w:rPr>
                <w:rFonts w:asciiTheme="minorEastAsia" w:hAnsiTheme="minorEastAsia" w:eastAsiaTheme="minorEastAsia"/>
                <w:sz w:val="20"/>
              </w:rPr>
              <w:t>）</w:t>
            </w:r>
            <w:r>
              <w:rPr>
                <w:rFonts w:hint="eastAsia" w:asciiTheme="minorEastAsia" w:hAnsiTheme="minorEastAsia" w:eastAsiaTheme="minorEastAsia"/>
                <w:sz w:val="20"/>
              </w:rPr>
              <w:t>、正本：价格文件（独立装订）、商务技术文件（独立装订）各一份，电子文档一份(U盘)，一起密封包装；</w:t>
            </w:r>
          </w:p>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w:t>
            </w:r>
            <w:r>
              <w:rPr>
                <w:rFonts w:hint="eastAsia" w:asciiTheme="minorEastAsia" w:hAnsiTheme="minorEastAsia" w:eastAsiaTheme="minorEastAsia"/>
                <w:sz w:val="20"/>
              </w:rPr>
              <w:t>2</w:t>
            </w:r>
            <w:r>
              <w:rPr>
                <w:rFonts w:asciiTheme="minorEastAsia" w:hAnsiTheme="minorEastAsia" w:eastAsiaTheme="minorEastAsia"/>
                <w:sz w:val="20"/>
              </w:rPr>
              <w:t>）</w:t>
            </w:r>
            <w:r>
              <w:rPr>
                <w:rFonts w:hint="eastAsia" w:asciiTheme="minorEastAsia" w:hAnsiTheme="minorEastAsia" w:eastAsiaTheme="minorEastAsia"/>
                <w:sz w:val="20"/>
              </w:rPr>
              <w:t>、副本：价格文件（独立装订）、商务技术文件（独立装订）各五份，一起密封包装；</w:t>
            </w:r>
          </w:p>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（3）</w:t>
            </w:r>
            <w:r>
              <w:rPr>
                <w:rFonts w:hint="eastAsia" w:asciiTheme="minorEastAsia" w:hAnsiTheme="minorEastAsia" w:eastAsiaTheme="minorEastAsia"/>
                <w:sz w:val="20"/>
              </w:rPr>
              <w:t>、唱标信封：一份，单独密封包装。</w:t>
            </w:r>
          </w:p>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备注：</w:t>
            </w:r>
          </w:p>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1、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2、投标供应商必须对投标文件所提供的全部资料的真实性承担法律责任，并无条件接受采购人或采购代理机构及政府采购监督管理部门等对其中任何资料进行核实的要求。</w:t>
            </w:r>
          </w:p>
          <w:p>
            <w:pPr>
              <w:pStyle w:val="16"/>
              <w:ind w:firstLine="400"/>
              <w:jc w:val="left"/>
              <w:rPr>
                <w:rFonts w:asciiTheme="minorEastAsia" w:hAnsiTheme="minorEastAsia" w:eastAsiaTheme="minorEastAsia"/>
                <w:sz w:val="20"/>
              </w:rPr>
            </w:pPr>
            <w:r>
              <w:rPr>
                <w:rFonts w:asciiTheme="minorEastAsia" w:hAnsiTheme="minorEastAsia" w:eastAsiaTheme="minorEastAsia"/>
                <w:sz w:val="20"/>
              </w:rPr>
              <w:t>3、如果因为投标供应商投标文件填报的内容不详，或没有提供招标文件中所要求的全部资料及数据，由此造成的后果，其责任由投标供应商承担。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5</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联合体</w:t>
            </w:r>
            <w:r>
              <w:rPr>
                <w:rFonts w:hint="eastAsia" w:asciiTheme="minorEastAsia" w:hAnsiTheme="minorEastAsia" w:eastAsiaTheme="minorEastAsia"/>
                <w:sz w:val="20"/>
              </w:rPr>
              <w:t>投标</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包1：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6</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成交候选供应商推荐家数</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包组1： 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7</w:t>
            </w:r>
          </w:p>
        </w:tc>
        <w:tc>
          <w:tcPr>
            <w:tcW w:w="1843" w:type="dxa"/>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中标供应商确定</w:t>
            </w:r>
          </w:p>
        </w:tc>
        <w:tc>
          <w:tcPr>
            <w:tcW w:w="6168" w:type="dxa"/>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18</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备选方案</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ind w:firstLine="400"/>
              <w:jc w:val="center"/>
              <w:rPr>
                <w:rFonts w:asciiTheme="minorEastAsia" w:hAnsiTheme="minorEastAsia" w:eastAsiaTheme="minorEastAsia"/>
                <w:sz w:val="20"/>
              </w:rPr>
            </w:pPr>
            <w:r>
              <w:rPr>
                <w:rFonts w:hint="eastAsia" w:asciiTheme="minorEastAsia" w:hAnsiTheme="minorEastAsia" w:eastAsiaTheme="minorEastAsia"/>
                <w:sz w:val="20"/>
              </w:rPr>
              <w:t>19</w:t>
            </w:r>
          </w:p>
        </w:tc>
        <w:tc>
          <w:tcPr>
            <w:tcW w:w="1843"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代理服务费</w:t>
            </w:r>
          </w:p>
        </w:tc>
        <w:tc>
          <w:tcPr>
            <w:tcW w:w="6168" w:type="dxa"/>
            <w:vAlign w:val="center"/>
          </w:tcPr>
          <w:p>
            <w:pPr>
              <w:pStyle w:val="16"/>
              <w:ind w:firstLine="400"/>
              <w:jc w:val="center"/>
              <w:rPr>
                <w:rFonts w:asciiTheme="minorEastAsia" w:hAnsiTheme="minorEastAsia" w:eastAsiaTheme="minorEastAsia"/>
                <w:sz w:val="20"/>
              </w:rPr>
            </w:pPr>
            <w:r>
              <w:rPr>
                <w:rFonts w:asciiTheme="minorEastAsia" w:hAnsiTheme="minorEastAsia" w:eastAsiaTheme="minorEastAsia"/>
                <w:sz w:val="20"/>
              </w:rPr>
              <w:t xml:space="preserve">不收取。 </w:t>
            </w:r>
          </w:p>
        </w:tc>
      </w:tr>
    </w:tbl>
    <w:p>
      <w:pPr>
        <w:spacing w:line="360" w:lineRule="auto"/>
        <w:rPr>
          <w:rFonts w:ascii="Arial" w:hAnsi="Arial" w:eastAsia="黑体" w:cs="宋体"/>
          <w:b/>
          <w:bCs/>
          <w:kern w:val="0"/>
          <w:sz w:val="21"/>
          <w:szCs w:val="21"/>
        </w:rPr>
      </w:pPr>
    </w:p>
    <w:p>
      <w:pPr>
        <w:spacing w:line="480" w:lineRule="exact"/>
        <w:ind w:firstLine="440" w:firstLineChars="200"/>
        <w:rPr>
          <w:rFonts w:ascii="宋体" w:hAnsi="宋体" w:eastAsia="宋体"/>
          <w:sz w:val="22"/>
          <w:szCs w:val="22"/>
        </w:rPr>
      </w:pPr>
      <w:r>
        <w:rPr>
          <w:rFonts w:ascii="宋体" w:hAnsi="宋体" w:eastAsia="宋体"/>
          <w:sz w:val="22"/>
          <w:szCs w:val="22"/>
        </w:rPr>
        <w:t>二.说明</w:t>
      </w:r>
    </w:p>
    <w:p>
      <w:pPr>
        <w:spacing w:line="480" w:lineRule="exact"/>
        <w:ind w:firstLine="440" w:firstLineChars="200"/>
        <w:rPr>
          <w:rFonts w:ascii="宋体" w:hAnsi="宋体" w:eastAsia="宋体"/>
          <w:sz w:val="22"/>
          <w:szCs w:val="22"/>
        </w:rPr>
      </w:pPr>
      <w:r>
        <w:rPr>
          <w:rFonts w:ascii="宋体" w:hAnsi="宋体" w:eastAsia="宋体"/>
          <w:sz w:val="22"/>
          <w:szCs w:val="22"/>
        </w:rPr>
        <w:t>1.总则</w:t>
      </w:r>
    </w:p>
    <w:p>
      <w:pPr>
        <w:spacing w:line="480" w:lineRule="exact"/>
        <w:ind w:firstLine="440" w:firstLineChars="200"/>
        <w:rPr>
          <w:rFonts w:ascii="宋体" w:hAnsi="宋体" w:eastAsia="宋体"/>
          <w:sz w:val="22"/>
          <w:szCs w:val="22"/>
        </w:rPr>
      </w:pPr>
      <w:r>
        <w:rPr>
          <w:rFonts w:ascii="宋体" w:hAnsi="宋体" w:eastAsia="宋体"/>
          <w:sz w:val="22"/>
          <w:szCs w:val="22"/>
        </w:rPr>
        <w:t>本招标文件依据《中华人民共和国政府采购法》、《中华人民共和国政府采购法实施条例》（国务院令第658号）和《政府采购货物和服务招标投标管理办法》（财政部令第87号）及国家和广东省有关法律、法规、规章编制。</w:t>
      </w:r>
    </w:p>
    <w:p>
      <w:pPr>
        <w:spacing w:line="480" w:lineRule="exact"/>
        <w:ind w:firstLine="440" w:firstLineChars="200"/>
        <w:rPr>
          <w:rFonts w:ascii="宋体" w:hAnsi="宋体" w:eastAsia="宋体"/>
          <w:sz w:val="22"/>
          <w:szCs w:val="22"/>
        </w:rPr>
      </w:pPr>
      <w:r>
        <w:rPr>
          <w:rFonts w:ascii="宋体" w:hAnsi="宋体" w:eastAsia="宋体"/>
          <w:sz w:val="22"/>
          <w:szCs w:val="22"/>
        </w:rPr>
        <w:t>投标供应商应仔细阅读本项目招标公告及招标文件的所有内容（包括变更、补充、澄清以及修改等，且均为招标文件的组成部分），按照招标文件要求以及格式编制投标文件，并保证其真实性，否则一切后果自负。</w:t>
      </w:r>
    </w:p>
    <w:p>
      <w:pPr>
        <w:spacing w:line="480" w:lineRule="exact"/>
        <w:ind w:firstLine="440" w:firstLineChars="200"/>
        <w:rPr>
          <w:rFonts w:ascii="宋体" w:hAnsi="宋体" w:eastAsia="宋体"/>
          <w:sz w:val="22"/>
          <w:szCs w:val="22"/>
        </w:rPr>
      </w:pPr>
      <w:r>
        <w:rPr>
          <w:rFonts w:ascii="宋体" w:hAnsi="宋体" w:eastAsia="宋体"/>
          <w:sz w:val="22"/>
          <w:szCs w:val="22"/>
        </w:rPr>
        <w:t>本次公开招标项目，是以招标公告的方式邀请非特定的投标供应商参加投标。</w:t>
      </w:r>
    </w:p>
    <w:p>
      <w:pPr>
        <w:spacing w:line="480" w:lineRule="exact"/>
        <w:ind w:firstLine="440" w:firstLineChars="200"/>
        <w:rPr>
          <w:rFonts w:ascii="宋体" w:hAnsi="宋体" w:eastAsia="宋体"/>
          <w:sz w:val="22"/>
          <w:szCs w:val="22"/>
        </w:rPr>
      </w:pPr>
      <w:r>
        <w:rPr>
          <w:rFonts w:ascii="宋体" w:hAnsi="宋体" w:eastAsia="宋体"/>
          <w:sz w:val="22"/>
          <w:szCs w:val="22"/>
        </w:rPr>
        <w:t>2.适用范围</w:t>
      </w:r>
    </w:p>
    <w:p>
      <w:pPr>
        <w:spacing w:line="480" w:lineRule="exact"/>
        <w:ind w:firstLine="440" w:firstLineChars="200"/>
        <w:rPr>
          <w:rFonts w:ascii="宋体" w:hAnsi="宋体" w:eastAsia="宋体"/>
          <w:sz w:val="22"/>
          <w:szCs w:val="22"/>
        </w:rPr>
      </w:pPr>
      <w:r>
        <w:rPr>
          <w:rFonts w:ascii="宋体" w:hAnsi="宋体" w:eastAsia="宋体"/>
          <w:sz w:val="22"/>
          <w:szCs w:val="22"/>
        </w:rPr>
        <w:t>适用范围本招标文件仅适用于本次招标公告中所涉及的项目和内容。</w:t>
      </w:r>
    </w:p>
    <w:p>
      <w:pPr>
        <w:spacing w:line="480" w:lineRule="exact"/>
        <w:ind w:firstLine="440" w:firstLineChars="200"/>
        <w:rPr>
          <w:rFonts w:ascii="宋体" w:hAnsi="宋体" w:eastAsia="宋体"/>
          <w:sz w:val="22"/>
          <w:szCs w:val="22"/>
        </w:rPr>
      </w:pPr>
      <w:r>
        <w:rPr>
          <w:rFonts w:ascii="宋体" w:hAnsi="宋体" w:eastAsia="宋体"/>
          <w:sz w:val="22"/>
          <w:szCs w:val="22"/>
        </w:rPr>
        <w:t>3.投标费用</w:t>
      </w:r>
    </w:p>
    <w:p>
      <w:pPr>
        <w:spacing w:line="480" w:lineRule="exact"/>
        <w:ind w:firstLine="440" w:firstLineChars="200"/>
        <w:rPr>
          <w:rFonts w:ascii="宋体" w:hAnsi="宋体" w:eastAsia="宋体"/>
          <w:sz w:val="22"/>
          <w:szCs w:val="22"/>
        </w:rPr>
      </w:pPr>
      <w:r>
        <w:rPr>
          <w:rFonts w:ascii="宋体" w:hAnsi="宋体" w:eastAsia="宋体"/>
          <w:sz w:val="22"/>
          <w:szCs w:val="22"/>
        </w:rPr>
        <w:t>投标费用投标供应商应承担所有与准备和参加投标有关的费用。不论投标结果如何，采购代理机构和采购人均无义务和责任承担相关费用。</w:t>
      </w:r>
    </w:p>
    <w:p>
      <w:pPr>
        <w:spacing w:line="480" w:lineRule="exact"/>
        <w:ind w:firstLine="440" w:firstLineChars="200"/>
        <w:rPr>
          <w:rFonts w:ascii="宋体" w:hAnsi="宋体" w:eastAsia="宋体"/>
          <w:sz w:val="22"/>
          <w:szCs w:val="22"/>
        </w:rPr>
      </w:pPr>
      <w:r>
        <w:rPr>
          <w:rFonts w:ascii="宋体" w:hAnsi="宋体" w:eastAsia="宋体"/>
          <w:sz w:val="22"/>
          <w:szCs w:val="22"/>
        </w:rPr>
        <w:t>4.当事人当事人</w:t>
      </w:r>
    </w:p>
    <w:p>
      <w:pPr>
        <w:spacing w:line="480" w:lineRule="exact"/>
        <w:ind w:firstLine="440" w:firstLineChars="200"/>
        <w:rPr>
          <w:rFonts w:ascii="宋体" w:hAnsi="宋体" w:eastAsia="宋体"/>
          <w:sz w:val="22"/>
          <w:szCs w:val="22"/>
        </w:rPr>
      </w:pPr>
      <w:r>
        <w:rPr>
          <w:rFonts w:ascii="宋体" w:hAnsi="宋体" w:eastAsia="宋体"/>
          <w:sz w:val="22"/>
          <w:szCs w:val="22"/>
        </w:rPr>
        <w:t>4.1“采购人”是指依法进行政府采购的国家机关、事业单位、团体组织。本招标文件的采购人特指本项目采购人。</w:t>
      </w:r>
    </w:p>
    <w:p>
      <w:pPr>
        <w:spacing w:line="480" w:lineRule="exact"/>
        <w:ind w:firstLine="440" w:firstLineChars="200"/>
        <w:rPr>
          <w:rFonts w:ascii="宋体" w:hAnsi="宋体" w:eastAsia="宋体"/>
          <w:sz w:val="22"/>
          <w:szCs w:val="22"/>
        </w:rPr>
      </w:pPr>
      <w:r>
        <w:rPr>
          <w:rFonts w:ascii="宋体" w:hAnsi="宋体" w:eastAsia="宋体"/>
          <w:sz w:val="22"/>
          <w:szCs w:val="22"/>
        </w:rPr>
        <w:t>4.2“采购代理机构”是指本次招标采购项目活动组织方。本招标文件的采购代理机构特指</w:t>
      </w:r>
      <w:r>
        <w:rPr>
          <w:rFonts w:hint="eastAsia" w:ascii="宋体" w:hAnsi="宋体" w:eastAsia="宋体"/>
          <w:sz w:val="22"/>
          <w:szCs w:val="22"/>
        </w:rPr>
        <w:t>东莞市</w:t>
      </w:r>
      <w:r>
        <w:rPr>
          <w:rFonts w:ascii="宋体" w:hAnsi="宋体" w:eastAsia="宋体"/>
          <w:sz w:val="22"/>
          <w:szCs w:val="22"/>
        </w:rPr>
        <w:t>中堂镇招投标服务所。</w:t>
      </w:r>
    </w:p>
    <w:p>
      <w:pPr>
        <w:spacing w:line="480" w:lineRule="exact"/>
        <w:ind w:firstLine="440" w:firstLineChars="200"/>
        <w:rPr>
          <w:rFonts w:ascii="宋体" w:hAnsi="宋体" w:eastAsia="宋体"/>
          <w:sz w:val="22"/>
          <w:szCs w:val="22"/>
        </w:rPr>
      </w:pPr>
      <w:r>
        <w:rPr>
          <w:rFonts w:ascii="宋体" w:hAnsi="宋体" w:eastAsia="宋体"/>
          <w:sz w:val="22"/>
          <w:szCs w:val="22"/>
        </w:rPr>
        <w:t>4.3“投标供应商”是指向采购人及采购代理机构提交投标文件、参加投标竞争的法人、其他组织或者自然人。</w:t>
      </w:r>
    </w:p>
    <w:p>
      <w:pPr>
        <w:spacing w:line="480" w:lineRule="exact"/>
        <w:ind w:firstLine="440" w:firstLineChars="200"/>
        <w:rPr>
          <w:rFonts w:ascii="宋体" w:hAnsi="宋体" w:eastAsia="宋体"/>
          <w:sz w:val="22"/>
          <w:szCs w:val="22"/>
        </w:rPr>
      </w:pPr>
      <w:r>
        <w:rPr>
          <w:rFonts w:ascii="宋体" w:hAnsi="宋体" w:eastAsia="宋体"/>
          <w:sz w:val="22"/>
          <w:szCs w:val="22"/>
        </w:rPr>
        <w:t>4.4“评审委员会”是指根据《中华人民共和国政府采购法》等法律法规规定，由采购人代表和有关专家组成以确定中标供应商或者推荐中标候选人的临时组织。</w:t>
      </w:r>
    </w:p>
    <w:p>
      <w:pPr>
        <w:spacing w:line="480" w:lineRule="exact"/>
        <w:ind w:firstLine="440" w:firstLineChars="200"/>
        <w:rPr>
          <w:rFonts w:ascii="宋体" w:hAnsi="宋体" w:eastAsia="宋体"/>
          <w:sz w:val="22"/>
          <w:szCs w:val="22"/>
        </w:rPr>
      </w:pPr>
      <w:r>
        <w:rPr>
          <w:rFonts w:ascii="宋体" w:hAnsi="宋体" w:eastAsia="宋体"/>
          <w:sz w:val="22"/>
          <w:szCs w:val="22"/>
        </w:rPr>
        <w:t>4.5“中标供应商”是指经评审委员会评审确定的对招标文件做出实质性响应，经采购人按照规定在评审委员会推荐的中标候选人中确定的或受采购人委托直接确认的，与采购人签订合同资格的投标供应商。</w:t>
      </w:r>
    </w:p>
    <w:p>
      <w:pPr>
        <w:spacing w:line="480" w:lineRule="exact"/>
        <w:ind w:firstLine="440" w:firstLineChars="200"/>
        <w:rPr>
          <w:rFonts w:ascii="宋体" w:hAnsi="宋体" w:eastAsia="宋体"/>
          <w:sz w:val="22"/>
          <w:szCs w:val="22"/>
        </w:rPr>
      </w:pPr>
      <w:r>
        <w:rPr>
          <w:rFonts w:ascii="宋体" w:hAnsi="宋体" w:eastAsia="宋体"/>
          <w:sz w:val="22"/>
          <w:szCs w:val="22"/>
        </w:rPr>
        <w:t>5.以联合体形式投标的，应符合以下规定：以联合体形式投标的，应符合以下规定</w:t>
      </w:r>
    </w:p>
    <w:p>
      <w:pPr>
        <w:spacing w:line="480" w:lineRule="exact"/>
        <w:ind w:firstLine="440" w:firstLineChars="200"/>
        <w:rPr>
          <w:rFonts w:ascii="宋体" w:hAnsi="宋体" w:eastAsia="宋体"/>
          <w:sz w:val="22"/>
          <w:szCs w:val="22"/>
        </w:rPr>
      </w:pPr>
      <w:r>
        <w:rPr>
          <w:rFonts w:ascii="宋体" w:hAnsi="宋体" w:eastAsia="宋体"/>
          <w:sz w:val="22"/>
          <w:szCs w:val="22"/>
        </w:rPr>
        <w:t>5.1联合体各方应签订联合体协议书，明确联合体牵头人和各方权利义务，并作为投标文件组成分部分。</w:t>
      </w:r>
    </w:p>
    <w:p>
      <w:pPr>
        <w:spacing w:line="480" w:lineRule="exact"/>
        <w:ind w:firstLine="440" w:firstLineChars="200"/>
        <w:rPr>
          <w:rFonts w:ascii="宋体" w:hAnsi="宋体" w:eastAsia="宋体"/>
          <w:sz w:val="22"/>
          <w:szCs w:val="22"/>
        </w:rPr>
      </w:pPr>
      <w:r>
        <w:rPr>
          <w:rFonts w:ascii="宋体" w:hAnsi="宋体" w:eastAsia="宋体"/>
          <w:sz w:val="22"/>
          <w:szCs w:val="22"/>
        </w:rPr>
        <w:t>5.2联合体各方均应当具备政府采购法第二十二条规定的条件，并在投标文件中提供联合体各方的相关证明材料。</w:t>
      </w:r>
    </w:p>
    <w:p>
      <w:pPr>
        <w:spacing w:line="480" w:lineRule="exact"/>
        <w:ind w:firstLine="440" w:firstLineChars="200"/>
        <w:rPr>
          <w:rFonts w:ascii="宋体" w:hAnsi="宋体" w:eastAsia="宋体"/>
          <w:sz w:val="22"/>
          <w:szCs w:val="22"/>
        </w:rPr>
      </w:pPr>
      <w:r>
        <w:rPr>
          <w:rFonts w:ascii="宋体" w:hAnsi="宋体" w:eastAsia="宋体"/>
          <w:sz w:val="22"/>
          <w:szCs w:val="22"/>
        </w:rPr>
        <w:t>5.3联合体成员存在不良信用记录的，视同联合体存在不良信用记录。</w:t>
      </w:r>
    </w:p>
    <w:p>
      <w:pPr>
        <w:spacing w:line="480" w:lineRule="exact"/>
        <w:ind w:firstLine="440" w:firstLineChars="200"/>
        <w:rPr>
          <w:rFonts w:ascii="宋体" w:hAnsi="宋体" w:eastAsia="宋体"/>
          <w:sz w:val="22"/>
          <w:szCs w:val="22"/>
        </w:rPr>
      </w:pPr>
      <w:r>
        <w:rPr>
          <w:rFonts w:ascii="宋体" w:hAnsi="宋体" w:eastAsia="宋体"/>
          <w:sz w:val="22"/>
          <w:szCs w:val="22"/>
        </w:rPr>
        <w:t>5.4联合体各方中至少应当有一方符合采购人规定的资格要求。由同一资质条件的投标人组成的联合体，应当按照资质等级较低的投标人确定联合体资质等级。</w:t>
      </w:r>
    </w:p>
    <w:p>
      <w:pPr>
        <w:spacing w:line="480" w:lineRule="exact"/>
        <w:ind w:firstLine="440" w:firstLineChars="200"/>
        <w:rPr>
          <w:rFonts w:ascii="宋体" w:hAnsi="宋体" w:eastAsia="宋体"/>
          <w:sz w:val="22"/>
          <w:szCs w:val="22"/>
        </w:rPr>
      </w:pPr>
      <w:r>
        <w:rPr>
          <w:rFonts w:ascii="宋体" w:hAnsi="宋体" w:eastAsia="宋体"/>
          <w:sz w:val="22"/>
          <w:szCs w:val="22"/>
        </w:rPr>
        <w:t>5.5联合体各方不得再以自己名义单独在同一项目中投标，也不得组成新的联合体参加同一项目投标。</w:t>
      </w:r>
    </w:p>
    <w:p>
      <w:pPr>
        <w:spacing w:line="480" w:lineRule="exact"/>
        <w:ind w:firstLine="440" w:firstLineChars="200"/>
        <w:rPr>
          <w:rFonts w:ascii="宋体" w:hAnsi="宋体" w:eastAsia="宋体"/>
          <w:sz w:val="22"/>
          <w:szCs w:val="22"/>
        </w:rPr>
      </w:pPr>
      <w:r>
        <w:rPr>
          <w:rFonts w:ascii="宋体" w:hAnsi="宋体" w:eastAsia="宋体"/>
          <w:sz w:val="22"/>
          <w:szCs w:val="22"/>
        </w:rPr>
        <w:t>5.6联合体各方应当共同与采购人签订采购合同，就合同约定的事项对采购人承担连带责任。</w:t>
      </w:r>
    </w:p>
    <w:p>
      <w:pPr>
        <w:spacing w:line="480" w:lineRule="exact"/>
        <w:ind w:firstLine="440" w:firstLineChars="200"/>
        <w:rPr>
          <w:rFonts w:ascii="宋体" w:hAnsi="宋体" w:eastAsia="宋体"/>
          <w:sz w:val="22"/>
          <w:szCs w:val="22"/>
        </w:rPr>
      </w:pPr>
      <w:r>
        <w:rPr>
          <w:rFonts w:ascii="宋体" w:hAnsi="宋体" w:eastAsia="宋体"/>
          <w:sz w:val="22"/>
          <w:szCs w:val="22"/>
        </w:rPr>
        <w:t>5.7 投标时，应以联合体协议中确定的主体方名义投标，以主体方名义缴纳投标保证金，对联合体各方均具有约束力。</w:t>
      </w:r>
    </w:p>
    <w:p>
      <w:pPr>
        <w:spacing w:line="480" w:lineRule="exact"/>
        <w:ind w:firstLine="440" w:firstLineChars="200"/>
        <w:rPr>
          <w:rFonts w:ascii="宋体" w:hAnsi="宋体" w:eastAsia="宋体"/>
          <w:sz w:val="22"/>
          <w:szCs w:val="22"/>
        </w:rPr>
      </w:pPr>
      <w:r>
        <w:rPr>
          <w:rFonts w:ascii="宋体" w:hAnsi="宋体" w:eastAsia="宋体"/>
          <w:sz w:val="22"/>
          <w:szCs w:val="22"/>
        </w:rPr>
        <w:t>6.语言文字以及度量衡单位语言文字以及度量衡单位</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6.1所有文件使用的语言文字为简体中文。专用术语使用外文的，应附有简体中文注释，否则视为无效。 </w:t>
      </w:r>
    </w:p>
    <w:p>
      <w:pPr>
        <w:spacing w:line="480" w:lineRule="exact"/>
        <w:ind w:firstLine="440" w:firstLineChars="200"/>
        <w:rPr>
          <w:rFonts w:ascii="宋体" w:hAnsi="宋体" w:eastAsia="宋体"/>
          <w:sz w:val="22"/>
          <w:szCs w:val="22"/>
        </w:rPr>
      </w:pPr>
      <w:r>
        <w:rPr>
          <w:rFonts w:ascii="宋体" w:hAnsi="宋体" w:eastAsia="宋体"/>
          <w:sz w:val="22"/>
          <w:szCs w:val="22"/>
        </w:rPr>
        <w:t>6.2所有计量均采用中国法定的计量单位。</w:t>
      </w:r>
    </w:p>
    <w:p>
      <w:pPr>
        <w:spacing w:line="480" w:lineRule="exact"/>
        <w:ind w:firstLine="440" w:firstLineChars="200"/>
        <w:rPr>
          <w:rFonts w:ascii="宋体" w:hAnsi="宋体" w:eastAsia="宋体"/>
          <w:sz w:val="22"/>
          <w:szCs w:val="22"/>
        </w:rPr>
      </w:pPr>
      <w:r>
        <w:rPr>
          <w:rFonts w:ascii="宋体" w:hAnsi="宋体" w:eastAsia="宋体"/>
          <w:sz w:val="22"/>
          <w:szCs w:val="22"/>
        </w:rPr>
        <w:t>6.3所有报价一律使用人民币，货币单位：元。</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7. 现场踏勘现场踏勘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7.1招标文件规定组织踏勘现场的，采购人按招标文件规定的时间、地点组织投标人踏勘项目现场。  </w:t>
      </w:r>
    </w:p>
    <w:p>
      <w:pPr>
        <w:spacing w:line="480" w:lineRule="exact"/>
        <w:ind w:firstLine="440" w:firstLineChars="200"/>
        <w:rPr>
          <w:rFonts w:ascii="宋体" w:hAnsi="宋体" w:eastAsia="宋体"/>
          <w:sz w:val="22"/>
          <w:szCs w:val="22"/>
        </w:rPr>
      </w:pPr>
      <w:r>
        <w:rPr>
          <w:rFonts w:ascii="宋体" w:hAnsi="宋体" w:eastAsia="宋体"/>
          <w:sz w:val="22"/>
          <w:szCs w:val="22"/>
        </w:rPr>
        <w:t>7.2投标人自行承担踏勘现场发生的责任、风险和自身费用。</w:t>
      </w:r>
    </w:p>
    <w:p>
      <w:pPr>
        <w:spacing w:line="480" w:lineRule="exact"/>
        <w:ind w:firstLine="440" w:firstLineChars="200"/>
        <w:rPr>
          <w:rFonts w:ascii="宋体" w:hAnsi="宋体" w:eastAsia="宋体"/>
          <w:sz w:val="22"/>
          <w:szCs w:val="22"/>
        </w:rPr>
      </w:pPr>
      <w:r>
        <w:rPr>
          <w:rFonts w:ascii="宋体" w:hAnsi="宋体" w:eastAsia="宋体"/>
          <w:sz w:val="22"/>
          <w:szCs w:val="22"/>
        </w:rPr>
        <w:t>7.3采购人在踏勘现场中介绍的资料和数据等，不构成对招标文件的修改或不作为投标人编制投标文件的依据。</w:t>
      </w:r>
    </w:p>
    <w:p>
      <w:pPr>
        <w:spacing w:line="480" w:lineRule="exact"/>
        <w:ind w:firstLine="440" w:firstLineChars="200"/>
        <w:rPr>
          <w:rFonts w:ascii="宋体" w:hAnsi="宋体" w:eastAsia="宋体"/>
          <w:sz w:val="22"/>
          <w:szCs w:val="22"/>
        </w:rPr>
      </w:pPr>
      <w:r>
        <w:rPr>
          <w:rFonts w:ascii="宋体" w:hAnsi="宋体" w:eastAsia="宋体"/>
          <w:sz w:val="22"/>
          <w:szCs w:val="22"/>
        </w:rPr>
        <w:t>8.其他条款其他条款无论中标与否投标人递交的投标文件均不予退还。</w:t>
      </w:r>
    </w:p>
    <w:p>
      <w:pPr>
        <w:spacing w:line="480" w:lineRule="exact"/>
        <w:ind w:firstLine="440" w:firstLineChars="200"/>
        <w:rPr>
          <w:rFonts w:ascii="宋体" w:hAnsi="宋体" w:eastAsia="宋体"/>
          <w:sz w:val="22"/>
          <w:szCs w:val="22"/>
        </w:rPr>
      </w:pPr>
      <w:r>
        <w:rPr>
          <w:rFonts w:ascii="宋体" w:hAnsi="宋体" w:eastAsia="宋体"/>
          <w:sz w:val="22"/>
          <w:szCs w:val="22"/>
        </w:rPr>
        <w:t>三.招标文件的澄清或者修改招标文件的澄清或者修改</w:t>
      </w:r>
    </w:p>
    <w:p>
      <w:pPr>
        <w:spacing w:line="480" w:lineRule="exact"/>
        <w:ind w:firstLine="440" w:firstLineChars="200"/>
        <w:rPr>
          <w:rFonts w:ascii="宋体" w:hAnsi="宋体" w:eastAsia="宋体"/>
          <w:sz w:val="22"/>
          <w:szCs w:val="22"/>
        </w:rPr>
      </w:pPr>
      <w:r>
        <w:rPr>
          <w:rFonts w:ascii="宋体" w:hAnsi="宋体" w:eastAsia="宋体"/>
          <w:sz w:val="22"/>
          <w:szCs w:val="22"/>
        </w:rPr>
        <w:t>1.招标文件的澄清更正招标文件的澄清更正</w:t>
      </w:r>
    </w:p>
    <w:p>
      <w:pPr>
        <w:spacing w:line="480" w:lineRule="exact"/>
        <w:ind w:firstLine="440" w:firstLineChars="200"/>
        <w:rPr>
          <w:rFonts w:ascii="宋体" w:hAnsi="宋体" w:eastAsia="宋体"/>
          <w:sz w:val="22"/>
          <w:szCs w:val="22"/>
        </w:rPr>
      </w:pPr>
      <w:r>
        <w:rPr>
          <w:rFonts w:ascii="宋体" w:hAnsi="宋体" w:eastAsia="宋体"/>
          <w:sz w:val="22"/>
          <w:szCs w:val="22"/>
        </w:rPr>
        <w:t>1.1采购代理机构对招标文件进行必要的澄清更正的，澄清或者修改的内容可能影响投标文件编制的，于投标截止时间的15天前在指定媒体上发布公告，并通知所有登记及购买招标文件的投标供应商，登记及购买招标文件的投标供应商在收到澄清更正通知后应按要求以书面形式（加盖单位公章，传真有效）予以确认，该澄清更正的内容为招标文件的组成部分；澄清更正不足15天的，采购代理机构在征得当时已登记及购买招标文件的投标供应商同意并书面确认（加盖单位公章，传真有效）后，可不改变投标截止时间。</w:t>
      </w:r>
    </w:p>
    <w:p>
      <w:pPr>
        <w:spacing w:line="480" w:lineRule="exact"/>
        <w:ind w:firstLine="440" w:firstLineChars="200"/>
        <w:rPr>
          <w:rFonts w:ascii="宋体" w:hAnsi="宋体" w:eastAsia="宋体"/>
          <w:sz w:val="22"/>
          <w:szCs w:val="22"/>
        </w:rPr>
      </w:pPr>
      <w:r>
        <w:rPr>
          <w:rFonts w:ascii="宋体" w:hAnsi="宋体" w:eastAsia="宋体"/>
          <w:sz w:val="22"/>
          <w:szCs w:val="22"/>
        </w:rPr>
        <w:t>1.2投标供应商在规定的时间内未对招标文件提出疑问、质疑或要求澄清的，将视其为无异议。四四.投标文件投标文件1.投标文件的构成投标文件的构成投标文件应按照招标文件第六章“投标文件格式与要求”进行编写（可以增加附页），作为投标文件的组成部分。</w:t>
      </w:r>
    </w:p>
    <w:p>
      <w:pPr>
        <w:spacing w:line="480" w:lineRule="exact"/>
        <w:ind w:firstLine="440" w:firstLineChars="200"/>
        <w:rPr>
          <w:rFonts w:ascii="宋体" w:hAnsi="宋体" w:eastAsia="宋体"/>
          <w:sz w:val="22"/>
          <w:szCs w:val="22"/>
        </w:rPr>
      </w:pPr>
      <w:r>
        <w:rPr>
          <w:rFonts w:ascii="宋体" w:hAnsi="宋体" w:eastAsia="宋体"/>
          <w:sz w:val="22"/>
          <w:szCs w:val="22"/>
        </w:rPr>
        <w:t>2.投标报价投标报价</w:t>
      </w:r>
    </w:p>
    <w:p>
      <w:pPr>
        <w:spacing w:line="480" w:lineRule="exact"/>
        <w:ind w:firstLine="440" w:firstLineChars="200"/>
        <w:rPr>
          <w:rFonts w:ascii="宋体" w:hAnsi="宋体" w:eastAsia="宋体"/>
          <w:sz w:val="22"/>
          <w:szCs w:val="22"/>
        </w:rPr>
      </w:pPr>
      <w:r>
        <w:rPr>
          <w:rFonts w:ascii="宋体" w:hAnsi="宋体" w:eastAsia="宋体"/>
          <w:sz w:val="22"/>
          <w:szCs w:val="22"/>
        </w:rPr>
        <w:t>2.1 投标供应商应按照“第二章用户需求书”的需求内容、责任范围以及合同条款进行报价。并按“开标一览表”和“分项报价明细表”规定的格式报出总价和分项价格。投标总价中不得包含招标文件要求以外的内容，否则，在评审时不予核减。</w:t>
      </w:r>
    </w:p>
    <w:p>
      <w:pPr>
        <w:spacing w:line="480" w:lineRule="exact"/>
        <w:ind w:firstLine="440" w:firstLineChars="200"/>
        <w:rPr>
          <w:rFonts w:ascii="宋体" w:hAnsi="宋体" w:eastAsia="宋体"/>
          <w:sz w:val="22"/>
          <w:szCs w:val="22"/>
        </w:rPr>
      </w:pPr>
      <w:r>
        <w:rPr>
          <w:rFonts w:ascii="宋体" w:hAnsi="宋体" w:eastAsia="宋体"/>
          <w:sz w:val="22"/>
          <w:szCs w:val="22"/>
        </w:rPr>
        <w:t>2.2 投标报价包括本项目采购需求和投入使用的所有费用，包括但不限于主件、标准附件、备品备件、施工、服务、专用工具、安装、调试、检验、培训、运输、保险、税款等。</w:t>
      </w:r>
    </w:p>
    <w:p>
      <w:pPr>
        <w:spacing w:line="480" w:lineRule="exact"/>
        <w:ind w:firstLine="440" w:firstLineChars="200"/>
        <w:rPr>
          <w:rFonts w:ascii="宋体" w:hAnsi="宋体" w:eastAsia="宋体"/>
          <w:sz w:val="22"/>
          <w:szCs w:val="22"/>
        </w:rPr>
      </w:pPr>
      <w:r>
        <w:rPr>
          <w:rFonts w:ascii="宋体" w:hAnsi="宋体" w:eastAsia="宋体"/>
          <w:sz w:val="22"/>
          <w:szCs w:val="22"/>
        </w:rPr>
        <w:t>2.3 投标报价不得有选择性报价和附有条件的报价。</w:t>
      </w:r>
    </w:p>
    <w:p>
      <w:pPr>
        <w:spacing w:line="480" w:lineRule="exact"/>
        <w:ind w:firstLine="440" w:firstLineChars="200"/>
        <w:rPr>
          <w:rFonts w:ascii="宋体" w:hAnsi="宋体" w:eastAsia="宋体"/>
          <w:sz w:val="22"/>
          <w:szCs w:val="22"/>
        </w:rPr>
      </w:pPr>
      <w:r>
        <w:rPr>
          <w:rFonts w:ascii="宋体" w:hAnsi="宋体" w:eastAsia="宋体"/>
          <w:sz w:val="22"/>
          <w:szCs w:val="22"/>
        </w:rPr>
        <w:t>3.投标有效期投标有效期</w:t>
      </w:r>
    </w:p>
    <w:p>
      <w:pPr>
        <w:spacing w:line="480" w:lineRule="exact"/>
        <w:ind w:firstLine="440" w:firstLineChars="200"/>
        <w:rPr>
          <w:rFonts w:ascii="宋体" w:hAnsi="宋体" w:eastAsia="宋体"/>
          <w:sz w:val="22"/>
          <w:szCs w:val="22"/>
        </w:rPr>
      </w:pPr>
      <w:r>
        <w:rPr>
          <w:rFonts w:ascii="宋体" w:hAnsi="宋体" w:eastAsia="宋体"/>
          <w:sz w:val="22"/>
          <w:szCs w:val="22"/>
        </w:rPr>
        <w:t>3.1投标有效期从提交投标文件的截止之日起算。投标文件中承诺的投标有效期应当不少于招标文件中载明的投标有效期。投标有效期内投标供应商撤销投标文件的，采购人或者采购代理机构可以不退还投标保证金。</w:t>
      </w:r>
    </w:p>
    <w:p>
      <w:pPr>
        <w:spacing w:line="480" w:lineRule="exact"/>
        <w:ind w:firstLine="440" w:firstLineChars="200"/>
        <w:rPr>
          <w:rFonts w:ascii="宋体" w:hAnsi="宋体" w:eastAsia="宋体"/>
          <w:sz w:val="22"/>
          <w:szCs w:val="22"/>
        </w:rPr>
      </w:pPr>
      <w:r>
        <w:rPr>
          <w:rFonts w:ascii="宋体" w:hAnsi="宋体" w:eastAsia="宋体"/>
          <w:sz w:val="22"/>
          <w:szCs w:val="22"/>
        </w:rPr>
        <w:t>3.2出现特殊情况需延长投标有效期的，采购人以书面形式通知所有投标供应商延长投标有效期。投标供应商同意延长的，应相应延长其投标保证金的有效期，但不得要求或被允许修改或撤销其投标文件；投标供应商拒绝延长的，其投标失效，但投标供应商有权收回其投标保证金。</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4.投标保证金投标保证金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4.1投标保证金的缴纳投标供应商在提交投标文件的同时，应按投标供应商须知前附表规定的金额和缴纳要求缴纳投标保证金，并作为其投标文件的组成部分。注意事项：供应商通过线下方式缴纳保证金（支票、汇票、本票、纸质保函）的，需准备缴纳凭证的扫描件作为核验凭证；通过电子保函形式缴纳保证金的，如遇开标现场无法拉取电子保函信息时，可提供电子保函打印件或购买凭证作为核验凭证。相关凭证应上传至系统归档保存。   </w:t>
      </w:r>
    </w:p>
    <w:p>
      <w:pPr>
        <w:spacing w:line="480" w:lineRule="exact"/>
        <w:ind w:firstLine="440" w:firstLineChars="200"/>
        <w:rPr>
          <w:rFonts w:ascii="宋体" w:hAnsi="宋体" w:eastAsia="宋体"/>
          <w:sz w:val="22"/>
          <w:szCs w:val="22"/>
        </w:rPr>
      </w:pPr>
      <w:r>
        <w:rPr>
          <w:rFonts w:ascii="宋体" w:hAnsi="宋体" w:eastAsia="宋体"/>
          <w:sz w:val="22"/>
          <w:szCs w:val="22"/>
        </w:rPr>
        <w:t>4.2投标保证金的退还：</w:t>
      </w:r>
    </w:p>
    <w:p>
      <w:pPr>
        <w:spacing w:line="480" w:lineRule="exact"/>
        <w:ind w:firstLine="440" w:firstLineChars="200"/>
        <w:rPr>
          <w:rFonts w:ascii="宋体" w:hAnsi="宋体" w:eastAsia="宋体"/>
          <w:sz w:val="22"/>
          <w:szCs w:val="22"/>
        </w:rPr>
      </w:pPr>
      <w:r>
        <w:rPr>
          <w:rFonts w:ascii="宋体" w:hAnsi="宋体" w:eastAsia="宋体"/>
          <w:sz w:val="22"/>
          <w:szCs w:val="22"/>
        </w:rPr>
        <w:t>（1）投标供应商在投标截止时间前放弃投标的，自所投包组结果公告发出后5个工作日内退还。</w:t>
      </w:r>
    </w:p>
    <w:p>
      <w:pPr>
        <w:spacing w:line="480" w:lineRule="exact"/>
        <w:ind w:firstLine="440" w:firstLineChars="200"/>
        <w:rPr>
          <w:rFonts w:ascii="宋体" w:hAnsi="宋体" w:eastAsia="宋体"/>
          <w:sz w:val="22"/>
          <w:szCs w:val="22"/>
        </w:rPr>
      </w:pPr>
      <w:r>
        <w:rPr>
          <w:rFonts w:ascii="宋体" w:hAnsi="宋体" w:eastAsia="宋体"/>
          <w:sz w:val="22"/>
          <w:szCs w:val="22"/>
        </w:rPr>
        <w:t>（2）未中标供应商投标保证金，自中标通知书发出之日起5个工作日内退还；</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（3）中标供应商投标保证金，自政府采购合同签订之日起5个工作日内退还。备注：但因投标供应商自身原因导致无法及时退还的除外；    </w:t>
      </w:r>
    </w:p>
    <w:p>
      <w:pPr>
        <w:spacing w:line="480" w:lineRule="exact"/>
        <w:ind w:firstLine="440" w:firstLineChars="200"/>
        <w:rPr>
          <w:rFonts w:ascii="宋体" w:hAnsi="宋体" w:eastAsia="宋体"/>
          <w:sz w:val="22"/>
          <w:szCs w:val="22"/>
        </w:rPr>
      </w:pPr>
      <w:r>
        <w:rPr>
          <w:rFonts w:ascii="宋体" w:hAnsi="宋体" w:eastAsia="宋体"/>
          <w:sz w:val="22"/>
          <w:szCs w:val="22"/>
        </w:rPr>
        <w:t>4.3有下列情形之一的，投标保证金将不予退还：</w:t>
      </w:r>
    </w:p>
    <w:p>
      <w:pPr>
        <w:spacing w:line="480" w:lineRule="exact"/>
        <w:ind w:firstLine="440" w:firstLineChars="200"/>
        <w:rPr>
          <w:rFonts w:ascii="宋体" w:hAnsi="宋体" w:eastAsia="宋体"/>
          <w:sz w:val="22"/>
          <w:szCs w:val="22"/>
        </w:rPr>
      </w:pPr>
      <w:r>
        <w:rPr>
          <w:rFonts w:ascii="宋体" w:hAnsi="宋体" w:eastAsia="宋体"/>
          <w:sz w:val="22"/>
          <w:szCs w:val="22"/>
        </w:rPr>
        <w:t>（1）提供虚假材料谋取中标、成交的；</w:t>
      </w:r>
    </w:p>
    <w:p>
      <w:pPr>
        <w:spacing w:line="480" w:lineRule="exact"/>
        <w:ind w:firstLine="440" w:firstLineChars="200"/>
        <w:rPr>
          <w:rFonts w:ascii="宋体" w:hAnsi="宋体" w:eastAsia="宋体"/>
          <w:sz w:val="22"/>
          <w:szCs w:val="22"/>
        </w:rPr>
      </w:pPr>
      <w:r>
        <w:rPr>
          <w:rFonts w:ascii="宋体" w:hAnsi="宋体" w:eastAsia="宋体"/>
          <w:sz w:val="22"/>
          <w:szCs w:val="22"/>
        </w:rPr>
        <w:t>（2）提交响应文件截止时间后，在投标有效期内撤回投标文件的</w:t>
      </w:r>
    </w:p>
    <w:p>
      <w:pPr>
        <w:spacing w:line="480" w:lineRule="exact"/>
        <w:ind w:firstLine="440" w:firstLineChars="200"/>
        <w:rPr>
          <w:rFonts w:ascii="宋体" w:hAnsi="宋体" w:eastAsia="宋体"/>
          <w:sz w:val="22"/>
          <w:szCs w:val="22"/>
        </w:rPr>
      </w:pPr>
      <w:r>
        <w:rPr>
          <w:rFonts w:ascii="宋体" w:hAnsi="宋体" w:eastAsia="宋体"/>
          <w:sz w:val="22"/>
          <w:szCs w:val="22"/>
        </w:rPr>
        <w:t>（3）中标后，无正当理由放弃中标资格；</w:t>
      </w:r>
    </w:p>
    <w:p>
      <w:pPr>
        <w:spacing w:line="480" w:lineRule="exact"/>
        <w:ind w:firstLine="440" w:firstLineChars="200"/>
        <w:rPr>
          <w:rFonts w:ascii="宋体" w:hAnsi="宋体" w:eastAsia="宋体"/>
          <w:sz w:val="22"/>
          <w:szCs w:val="22"/>
        </w:rPr>
      </w:pPr>
      <w:r>
        <w:rPr>
          <w:rFonts w:ascii="宋体" w:hAnsi="宋体" w:eastAsia="宋体"/>
          <w:sz w:val="22"/>
          <w:szCs w:val="22"/>
        </w:rPr>
        <w:t>（4）中标后，无正当理由不与采购人签订合同；</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法律法规和招标文件规定的其他情形。备注：但因投标供应商自身原因导致无法及时退还的除外。</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5.投标文件的数量和签署投标文件的数量和签署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5.1投标供应商应编制投标文件正本和副本按照前附表要求的数量编制，投标文件的副本可采用正本的复印件。每套投标文件须清楚地标明“正本”、“副本”。若副本与正本不符，以正本为准。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5.2投标文件的正本需打印或用不褪色墨水书写，并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 5.3投标文件中的任何重要的插字、涂改和增删，必须由法定代表人或经其正式授权的代表在旁边签字或盖章才有效。</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6.投标文件的密封和标记（若有提交纸质投标文件，需按此条处理）投标文件的密封和标记（若有提交纸质投标文件，需按此条处理）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 6.1投标供应商应将投标文件正本和所有的副本分别单独密封包装，并在外包装上清晰标明“正本”、“副本”字样。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6.2为方便开标时唱标，投标供应商应按照《投标文件格式》的要求制作《唱标信封》并独立封装。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6.3信封或外包装上应当注明采购项目名称、采购项目编号和“在（招标文件中规定的开标日期和时点）之前不得启封”的字样，封口处应加盖投标供应商印章。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 6.4不足以造成投标文件可从外包装内散出而导致投标文件泄密的，不认定为投标文件未密封。</w:t>
      </w:r>
    </w:p>
    <w:p>
      <w:pPr>
        <w:spacing w:line="480" w:lineRule="exact"/>
        <w:ind w:firstLine="440" w:firstLineChars="200"/>
        <w:rPr>
          <w:rFonts w:ascii="宋体" w:hAnsi="宋体" w:eastAsia="宋体"/>
          <w:sz w:val="22"/>
          <w:szCs w:val="22"/>
        </w:rPr>
      </w:pPr>
      <w:r>
        <w:rPr>
          <w:rFonts w:ascii="宋体" w:hAnsi="宋体" w:eastAsia="宋体"/>
          <w:sz w:val="22"/>
          <w:szCs w:val="22"/>
        </w:rPr>
        <w:t>7.投标文件的递交投标文件的递交在招标文件要求提交投标文件的截止时间之后送达或上传的投标文件，以及纸质投标文件未密封的，为无效投标文件，采购人或采购代理机构拒收。采购人、采购代理机构对误投或未按规定时间、地点和模式进行投标的概不负责。</w:t>
      </w:r>
    </w:p>
    <w:p>
      <w:pPr>
        <w:spacing w:line="480" w:lineRule="exact"/>
        <w:ind w:firstLine="440" w:firstLineChars="200"/>
        <w:rPr>
          <w:rFonts w:ascii="宋体" w:hAnsi="宋体" w:eastAsia="宋体"/>
          <w:sz w:val="22"/>
          <w:szCs w:val="22"/>
        </w:rPr>
      </w:pPr>
      <w:r>
        <w:rPr>
          <w:rFonts w:ascii="宋体" w:hAnsi="宋体" w:eastAsia="宋体"/>
          <w:sz w:val="22"/>
          <w:szCs w:val="22"/>
        </w:rPr>
        <w:t>8.投标文件的修改和撤回投标文件的修改和撤回投标供应商在提交投标文件截止时间前，可以对所递交的投标文件进行补充、修改或者撤回。补充、修改的内容旁签署（法人或授权委托人签署）、盖章、密封和上传至系统后生效，并作为投标文件的组成部分。在提交投标文件截止时间后到招标文件规定的投标有效期终止之前，投标供应商不得补充、修改、替代或者撤回其投标文件。</w:t>
      </w:r>
    </w:p>
    <w:p>
      <w:pPr>
        <w:spacing w:line="480" w:lineRule="exact"/>
        <w:ind w:firstLine="440" w:firstLineChars="200"/>
        <w:rPr>
          <w:rFonts w:ascii="宋体" w:hAnsi="宋体" w:eastAsia="宋体"/>
          <w:sz w:val="22"/>
          <w:szCs w:val="22"/>
        </w:rPr>
      </w:pPr>
      <w:r>
        <w:rPr>
          <w:rFonts w:ascii="宋体" w:hAnsi="宋体" w:eastAsia="宋体"/>
          <w:sz w:val="22"/>
          <w:szCs w:val="22"/>
        </w:rPr>
        <w:t>9.样品（演示）样品（演示）</w:t>
      </w:r>
    </w:p>
    <w:p>
      <w:pPr>
        <w:spacing w:line="480" w:lineRule="exact"/>
        <w:ind w:firstLine="440" w:firstLineChars="200"/>
        <w:rPr>
          <w:rFonts w:ascii="宋体" w:hAnsi="宋体" w:eastAsia="宋体"/>
          <w:sz w:val="22"/>
          <w:szCs w:val="22"/>
        </w:rPr>
      </w:pPr>
      <w:r>
        <w:rPr>
          <w:rFonts w:ascii="宋体" w:hAnsi="宋体" w:eastAsia="宋体"/>
          <w:sz w:val="22"/>
          <w:szCs w:val="22"/>
        </w:rPr>
        <w:t>9.1招标文件规定投标供应商提交样品的，样品属于投标文件的组成部分。样品的生产、运输、安装、保全等一切费用由投标供应商自理。</w:t>
      </w:r>
    </w:p>
    <w:p>
      <w:pPr>
        <w:spacing w:line="480" w:lineRule="exact"/>
        <w:ind w:firstLine="440" w:firstLineChars="200"/>
        <w:rPr>
          <w:rFonts w:ascii="宋体" w:hAnsi="宋体" w:eastAsia="宋体"/>
          <w:sz w:val="22"/>
          <w:szCs w:val="22"/>
        </w:rPr>
      </w:pPr>
      <w:r>
        <w:rPr>
          <w:rFonts w:ascii="宋体" w:hAnsi="宋体" w:eastAsia="宋体"/>
          <w:sz w:val="22"/>
          <w:szCs w:val="22"/>
        </w:rPr>
        <w:t>9.2投标截止时间前，投标供应商应将样品送达至指定地点。若需要现场演示的，投标供应商应提前做好演示准备（包括演示设备）。</w:t>
      </w:r>
    </w:p>
    <w:p>
      <w:pPr>
        <w:spacing w:line="480" w:lineRule="exact"/>
        <w:ind w:firstLine="440" w:firstLineChars="200"/>
        <w:rPr>
          <w:rFonts w:ascii="宋体" w:hAnsi="宋体" w:eastAsia="宋体"/>
          <w:sz w:val="22"/>
          <w:szCs w:val="22"/>
        </w:rPr>
      </w:pPr>
      <w:r>
        <w:rPr>
          <w:rFonts w:ascii="宋体" w:hAnsi="宋体" w:eastAsia="宋体"/>
          <w:sz w:val="22"/>
          <w:szCs w:val="22"/>
        </w:rPr>
        <w:t>9.3采购结果公告发布后，中标供应商的样品由采购人封存，作为履约验收的依据之一。未中标供应商将样品自行取回。如未中标供应商未按规定时间内自行取回的,视同为同意其样品由采购代理机构自行处理。</w:t>
      </w:r>
    </w:p>
    <w:p>
      <w:pPr>
        <w:spacing w:line="480" w:lineRule="exact"/>
        <w:ind w:firstLine="440" w:firstLineChars="200"/>
        <w:rPr>
          <w:rFonts w:ascii="宋体" w:hAnsi="宋体" w:eastAsia="宋体"/>
          <w:sz w:val="22"/>
          <w:szCs w:val="22"/>
        </w:rPr>
      </w:pPr>
      <w:r>
        <w:rPr>
          <w:rFonts w:ascii="宋体" w:hAnsi="宋体" w:eastAsia="宋体"/>
          <w:sz w:val="22"/>
          <w:szCs w:val="22"/>
        </w:rPr>
        <w:t>五.开标、评审、结果公告、中标通知书发放</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1.开标程序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1.1主持人按下列程序进行开标： </w:t>
      </w:r>
    </w:p>
    <w:p>
      <w:pPr>
        <w:spacing w:line="480" w:lineRule="exact"/>
        <w:ind w:firstLine="440" w:firstLineChars="200"/>
        <w:rPr>
          <w:rFonts w:ascii="宋体" w:hAnsi="宋体" w:eastAsia="宋体"/>
          <w:sz w:val="22"/>
          <w:szCs w:val="22"/>
        </w:rPr>
      </w:pPr>
      <w:r>
        <w:rPr>
          <w:rFonts w:ascii="宋体" w:hAnsi="宋体" w:eastAsia="宋体"/>
          <w:sz w:val="22"/>
          <w:szCs w:val="22"/>
        </w:rPr>
        <w:t>（1）宣布开标纪律；</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宣布代理机构工作人员姓名；</w:t>
      </w:r>
    </w:p>
    <w:p>
      <w:pPr>
        <w:spacing w:line="480" w:lineRule="exact"/>
        <w:ind w:firstLine="440" w:firstLineChars="200"/>
        <w:rPr>
          <w:rFonts w:ascii="宋体" w:hAnsi="宋体" w:eastAsia="宋体"/>
          <w:sz w:val="22"/>
          <w:szCs w:val="22"/>
        </w:rPr>
      </w:pPr>
      <w:r>
        <w:rPr>
          <w:rFonts w:ascii="宋体" w:hAnsi="宋体" w:eastAsia="宋体"/>
          <w:sz w:val="22"/>
          <w:szCs w:val="22"/>
        </w:rPr>
        <w:t>（3）投标供应商对已提交投标文件进行</w:t>
      </w:r>
      <w:r>
        <w:rPr>
          <w:rFonts w:hint="eastAsia" w:ascii="宋体" w:hAnsi="宋体" w:eastAsia="宋体"/>
          <w:sz w:val="22"/>
          <w:szCs w:val="22"/>
        </w:rPr>
        <w:t>解封</w:t>
      </w:r>
      <w:r>
        <w:rPr>
          <w:rFonts w:ascii="宋体" w:hAnsi="宋体" w:eastAsia="宋体"/>
          <w:sz w:val="22"/>
          <w:szCs w:val="22"/>
        </w:rPr>
        <w:t xml:space="preserve">，由采购人或者采购代理机构工作人员当众宣布投标供应商名称、投标价格和招标文件规定的需要宣布的其他内容（以开标一览表要求为准）；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（4）参加开标会议人员对开标情况确认；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（5）开标结束，投标文件移交评审委员会。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1.2开标异议投标供应商代表对开标过程和开标记录有疑义，以及认为采购人、采购代理机构相关工作人员有需要回避的情形的，应当当场提出询问或者回避申请，开标会议结束后不再接受相关询问、质疑或者回避申请。       </w:t>
      </w:r>
    </w:p>
    <w:p>
      <w:pPr>
        <w:spacing w:line="480" w:lineRule="exact"/>
        <w:ind w:firstLine="440" w:firstLineChars="200"/>
        <w:rPr>
          <w:rFonts w:ascii="宋体" w:hAnsi="宋体" w:eastAsia="宋体"/>
          <w:sz w:val="22"/>
          <w:szCs w:val="22"/>
        </w:rPr>
      </w:pPr>
      <w:r>
        <w:rPr>
          <w:rFonts w:ascii="宋体" w:hAnsi="宋体" w:eastAsia="宋体"/>
          <w:sz w:val="22"/>
          <w:szCs w:val="22"/>
        </w:rPr>
        <w:t>1.3 投标供应商不足三家的，不得开标。</w:t>
      </w:r>
    </w:p>
    <w:p>
      <w:pPr>
        <w:spacing w:line="480" w:lineRule="exact"/>
        <w:ind w:firstLine="440" w:firstLineChars="200"/>
        <w:rPr>
          <w:rFonts w:ascii="宋体" w:hAnsi="宋体" w:eastAsia="宋体"/>
          <w:sz w:val="22"/>
          <w:szCs w:val="22"/>
        </w:rPr>
      </w:pPr>
      <w:r>
        <w:rPr>
          <w:rFonts w:ascii="宋体" w:hAnsi="宋体" w:eastAsia="宋体"/>
          <w:sz w:val="22"/>
          <w:szCs w:val="22"/>
        </w:rPr>
        <w:t>2.评审（详见第四章）评审（详见第四章）</w:t>
      </w:r>
    </w:p>
    <w:p>
      <w:pPr>
        <w:spacing w:line="480" w:lineRule="exact"/>
        <w:ind w:firstLine="440" w:firstLineChars="200"/>
        <w:rPr>
          <w:rFonts w:ascii="宋体" w:hAnsi="宋体" w:eastAsia="宋体"/>
          <w:sz w:val="22"/>
          <w:szCs w:val="22"/>
        </w:rPr>
      </w:pPr>
      <w:r>
        <w:rPr>
          <w:rFonts w:ascii="宋体" w:hAnsi="宋体" w:eastAsia="宋体"/>
          <w:sz w:val="22"/>
          <w:szCs w:val="22"/>
        </w:rPr>
        <w:t>3.结果公告结果公告中标供应商确定后，采购代理机构将在中国</w:t>
      </w:r>
      <w:r>
        <w:rPr>
          <w:rFonts w:hint="eastAsia" w:ascii="宋体" w:hAnsi="宋体" w:eastAsia="宋体"/>
          <w:sz w:val="22"/>
          <w:szCs w:val="22"/>
        </w:rPr>
        <w:t>东莞</w:t>
      </w:r>
      <w:r>
        <w:rPr>
          <w:rFonts w:ascii="宋体" w:hAnsi="宋体" w:eastAsia="宋体"/>
          <w:sz w:val="22"/>
          <w:szCs w:val="22"/>
        </w:rPr>
        <w:t>市政府中堂镇栏目(http://www.dg.gov.cn/zhongtang/index.html)上发布中标结果公告，同时将中标结果以公告形式通知未中标的投标供应商，中标结果公告期为 1 个工作日。中标通知书在发布结果公告的同时，</w:t>
      </w:r>
      <w:r>
        <w:rPr>
          <w:rFonts w:hint="eastAsia" w:ascii="宋体" w:hAnsi="宋体" w:eastAsia="宋体"/>
          <w:sz w:val="22"/>
          <w:szCs w:val="22"/>
        </w:rPr>
        <w:t>中标</w:t>
      </w:r>
      <w:r>
        <w:rPr>
          <w:rFonts w:ascii="宋体" w:hAnsi="宋体" w:eastAsia="宋体"/>
          <w:sz w:val="22"/>
          <w:szCs w:val="22"/>
        </w:rPr>
        <w:t>供应商可到东莞市中堂镇招投标服务所领取。项目废标后，采购代理机构将在中国</w:t>
      </w:r>
      <w:r>
        <w:rPr>
          <w:rFonts w:hint="eastAsia" w:ascii="宋体" w:hAnsi="宋体" w:eastAsia="宋体"/>
          <w:sz w:val="22"/>
          <w:szCs w:val="22"/>
        </w:rPr>
        <w:t>东莞</w:t>
      </w:r>
      <w:r>
        <w:rPr>
          <w:rFonts w:ascii="宋体" w:hAnsi="宋体" w:eastAsia="宋体"/>
          <w:sz w:val="22"/>
          <w:szCs w:val="22"/>
        </w:rPr>
        <w:t>市政府中堂镇栏目(http://www.dg.gov.cn/zhongtang/index.html)上发布废标公告，废标结果公告期为 1 个工作日。</w:t>
      </w:r>
    </w:p>
    <w:p>
      <w:pPr>
        <w:spacing w:line="480" w:lineRule="exact"/>
        <w:ind w:firstLine="440" w:firstLineChars="200"/>
        <w:rPr>
          <w:rFonts w:ascii="宋体" w:hAnsi="宋体" w:eastAsia="宋体"/>
          <w:sz w:val="22"/>
          <w:szCs w:val="22"/>
        </w:rPr>
      </w:pPr>
      <w:r>
        <w:rPr>
          <w:rFonts w:ascii="宋体" w:hAnsi="宋体" w:eastAsia="宋体"/>
          <w:sz w:val="22"/>
          <w:szCs w:val="22"/>
        </w:rPr>
        <w:t>4.中标通知书发放中标通知书发放发布中标结果的同时，</w:t>
      </w:r>
      <w:r>
        <w:rPr>
          <w:rFonts w:hint="eastAsia" w:ascii="宋体" w:hAnsi="宋体" w:eastAsia="宋体"/>
          <w:sz w:val="22"/>
          <w:szCs w:val="22"/>
        </w:rPr>
        <w:t>中标</w:t>
      </w:r>
      <w:r>
        <w:rPr>
          <w:rFonts w:ascii="宋体" w:hAnsi="宋体" w:eastAsia="宋体"/>
          <w:sz w:val="22"/>
          <w:szCs w:val="22"/>
        </w:rPr>
        <w:t>供应商可到东莞市中堂镇招投标服务所领取，中标通知书是合同的组成部分，中标通知书对采购人和中标供应商具有同等法律效力。</w:t>
      </w:r>
    </w:p>
    <w:p>
      <w:pPr>
        <w:spacing w:line="480" w:lineRule="exact"/>
        <w:ind w:firstLine="440" w:firstLineChars="200"/>
        <w:rPr>
          <w:rFonts w:ascii="宋体" w:hAnsi="宋体" w:eastAsia="宋体"/>
          <w:sz w:val="22"/>
          <w:szCs w:val="22"/>
        </w:rPr>
      </w:pPr>
      <w:r>
        <w:rPr>
          <w:rFonts w:ascii="宋体" w:hAnsi="宋体" w:eastAsia="宋体"/>
          <w:sz w:val="22"/>
          <w:szCs w:val="22"/>
        </w:rPr>
        <w:t>中标通知书发出后，采购人不得违法改变中标结果，中标供应商无正当理由不得放弃中标。备注：中标通知书在发布结果公告的同时，在广东省政府采购智慧监管平台同步发放。</w:t>
      </w:r>
    </w:p>
    <w:p>
      <w:pPr>
        <w:spacing w:line="480" w:lineRule="exact"/>
        <w:ind w:firstLine="440" w:firstLineChars="200"/>
        <w:rPr>
          <w:rFonts w:ascii="宋体" w:hAnsi="宋体" w:eastAsia="宋体"/>
          <w:sz w:val="22"/>
          <w:szCs w:val="22"/>
        </w:rPr>
      </w:pPr>
      <w:r>
        <w:rPr>
          <w:rFonts w:ascii="宋体" w:hAnsi="宋体" w:eastAsia="宋体"/>
          <w:sz w:val="22"/>
          <w:szCs w:val="22"/>
        </w:rPr>
        <w:t>六.询问、质疑与投诉询问、质疑与投诉</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1.询问询问      </w:t>
      </w:r>
    </w:p>
    <w:p>
      <w:pPr>
        <w:spacing w:line="480" w:lineRule="exact"/>
        <w:ind w:firstLine="440" w:firstLineChars="200"/>
        <w:rPr>
          <w:rFonts w:ascii="宋体" w:hAnsi="宋体" w:eastAsia="宋体"/>
          <w:sz w:val="22"/>
          <w:szCs w:val="22"/>
        </w:rPr>
      </w:pPr>
      <w:r>
        <w:rPr>
          <w:rFonts w:ascii="宋体" w:hAnsi="宋体" w:eastAsia="宋体"/>
          <w:sz w:val="22"/>
          <w:szCs w:val="22"/>
        </w:rPr>
        <w:t>1.1投标供应商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2.质疑质疑      </w:t>
      </w:r>
    </w:p>
    <w:p>
      <w:pPr>
        <w:spacing w:line="480" w:lineRule="exact"/>
        <w:ind w:firstLine="440" w:firstLineChars="200"/>
        <w:rPr>
          <w:rFonts w:ascii="宋体" w:hAnsi="宋体" w:eastAsia="宋体"/>
          <w:sz w:val="22"/>
          <w:szCs w:val="22"/>
        </w:rPr>
      </w:pPr>
      <w:r>
        <w:rPr>
          <w:rFonts w:ascii="宋体" w:hAnsi="宋体" w:eastAsia="宋体"/>
          <w:sz w:val="22"/>
          <w:szCs w:val="22"/>
        </w:rPr>
        <w:t>2.1投标供应商认为招标文件、采购过程和中标结果使自己的权益受到损害的，以书面形式一次性向采购人或采购代理机构书面提出质疑：</w:t>
      </w:r>
    </w:p>
    <w:p>
      <w:pPr>
        <w:spacing w:line="480" w:lineRule="exact"/>
        <w:ind w:firstLine="440" w:firstLineChars="200"/>
        <w:rPr>
          <w:rFonts w:ascii="宋体" w:hAnsi="宋体" w:eastAsia="宋体"/>
          <w:sz w:val="22"/>
          <w:szCs w:val="22"/>
        </w:rPr>
      </w:pPr>
      <w:r>
        <w:rPr>
          <w:rFonts w:ascii="宋体" w:hAnsi="宋体" w:eastAsia="宋体"/>
          <w:sz w:val="22"/>
          <w:szCs w:val="22"/>
        </w:rPr>
        <w:t>1）采购文件在指定的政府采购信息发布媒体上公示最少5个工作日；登记本项目的投标供应商认为采购文件的内容损害其权益的，可以自登记成功之日起7个工作日内提出质疑，供应商质疑、投诉应当有明确的请求和必要的证明材料；</w:t>
      </w:r>
    </w:p>
    <w:p>
      <w:pPr>
        <w:spacing w:line="480" w:lineRule="exact"/>
        <w:ind w:firstLine="440" w:firstLineChars="200"/>
        <w:rPr>
          <w:rFonts w:ascii="宋体" w:hAnsi="宋体" w:eastAsia="宋体"/>
          <w:sz w:val="22"/>
          <w:szCs w:val="22"/>
        </w:rPr>
      </w:pPr>
      <w:r>
        <w:rPr>
          <w:rFonts w:ascii="宋体" w:hAnsi="宋体" w:eastAsia="宋体"/>
          <w:sz w:val="22"/>
          <w:szCs w:val="22"/>
        </w:rPr>
        <w:t>2）投标供应商认为采购过程和中标结果使自己的权益受到损害的，对采购过程提出质疑的，为各采购程序环节结束之日起7个工作日内提出质疑；对中标结果提出质疑的，为中标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采购人或采购代理机构在收到投标供应商的书面质疑后7个工作日内作出答复，并以书面形式通知质疑投标供应商和其他有关投标供应商，但答复内容不涉及商业秘密。质疑投标供应商须提供相关证明材料，包括但不限于权益受损害的情况说明及受损害的原因、证据内容等，并对质疑内容的真实性承担责任。       </w:t>
      </w:r>
    </w:p>
    <w:p>
      <w:pPr>
        <w:spacing w:line="480" w:lineRule="exact"/>
        <w:ind w:firstLine="440" w:firstLineChars="200"/>
        <w:rPr>
          <w:rFonts w:ascii="宋体" w:hAnsi="宋体" w:eastAsia="宋体"/>
          <w:sz w:val="22"/>
          <w:szCs w:val="22"/>
        </w:rPr>
      </w:pPr>
      <w:r>
        <w:rPr>
          <w:rFonts w:ascii="宋体" w:hAnsi="宋体" w:eastAsia="宋体"/>
          <w:sz w:val="22"/>
          <w:szCs w:val="22"/>
        </w:rPr>
        <w:t>2.2质疑联系人：</w:t>
      </w:r>
      <w:r>
        <w:rPr>
          <w:rFonts w:hint="eastAsia" w:ascii="宋体" w:hAnsi="宋体" w:eastAsia="宋体"/>
          <w:sz w:val="22"/>
          <w:szCs w:val="22"/>
        </w:rPr>
        <w:t>郭</w:t>
      </w:r>
      <w:r>
        <w:rPr>
          <w:rFonts w:ascii="宋体" w:hAnsi="宋体" w:eastAsia="宋体"/>
          <w:sz w:val="22"/>
          <w:szCs w:val="22"/>
        </w:rPr>
        <w:t>先生。</w:t>
      </w:r>
    </w:p>
    <w:p>
      <w:pPr>
        <w:spacing w:line="480" w:lineRule="exact"/>
        <w:ind w:firstLine="440" w:firstLineChars="200"/>
        <w:rPr>
          <w:rFonts w:ascii="宋体" w:hAnsi="宋体" w:eastAsia="宋体"/>
          <w:sz w:val="22"/>
          <w:szCs w:val="22"/>
        </w:rPr>
      </w:pPr>
      <w:r>
        <w:rPr>
          <w:rFonts w:ascii="宋体" w:hAnsi="宋体" w:eastAsia="宋体"/>
          <w:sz w:val="22"/>
          <w:szCs w:val="22"/>
        </w:rPr>
        <w:t>电话：076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r>
        <w:rPr>
          <w:rFonts w:ascii="宋体" w:hAnsi="宋体" w:eastAsia="宋体"/>
          <w:sz w:val="22"/>
          <w:szCs w:val="22"/>
        </w:rPr>
        <w:t>。传真：076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邮箱：</w:t>
      </w:r>
      <w:r>
        <w:fldChar w:fldCharType="begin"/>
      </w:r>
      <w:r>
        <w:instrText xml:space="preserve"> HYPERLINK "mailto:156740338@qq.com" </w:instrText>
      </w:r>
      <w:r>
        <w:fldChar w:fldCharType="separate"/>
      </w:r>
      <w:r>
        <w:rPr>
          <w:rStyle w:val="48"/>
          <w:rFonts w:hint="eastAsia" w:ascii="宋体" w:hAnsi="宋体" w:eastAsia="宋体"/>
          <w:color w:val="auto"/>
          <w:sz w:val="22"/>
          <w:szCs w:val="22"/>
        </w:rPr>
        <w:t>156740338</w:t>
      </w:r>
      <w:r>
        <w:rPr>
          <w:rStyle w:val="48"/>
          <w:rFonts w:ascii="宋体" w:hAnsi="宋体" w:eastAsia="宋体"/>
          <w:color w:val="auto"/>
          <w:sz w:val="22"/>
          <w:szCs w:val="22"/>
        </w:rPr>
        <w:t>@</w:t>
      </w:r>
      <w:r>
        <w:rPr>
          <w:rStyle w:val="48"/>
          <w:rFonts w:hint="eastAsia" w:ascii="宋体" w:hAnsi="宋体" w:eastAsia="宋体"/>
          <w:color w:val="auto"/>
          <w:sz w:val="22"/>
          <w:szCs w:val="22"/>
        </w:rPr>
        <w:t>qq</w:t>
      </w:r>
      <w:r>
        <w:rPr>
          <w:rStyle w:val="48"/>
          <w:rFonts w:ascii="宋体" w:hAnsi="宋体" w:eastAsia="宋体"/>
          <w:color w:val="auto"/>
          <w:sz w:val="22"/>
          <w:szCs w:val="22"/>
        </w:rPr>
        <w:t>.com</w:t>
      </w:r>
      <w:r>
        <w:rPr>
          <w:rStyle w:val="48"/>
          <w:rFonts w:ascii="宋体" w:hAnsi="宋体" w:eastAsia="宋体"/>
          <w:color w:val="auto"/>
          <w:sz w:val="22"/>
          <w:szCs w:val="22"/>
        </w:rPr>
        <w:fldChar w:fldCharType="end"/>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东莞市中堂镇新兴路98号人民政府城建大楼四楼</w:t>
      </w:r>
      <w:r>
        <w:rPr>
          <w:rFonts w:ascii="宋体" w:hAnsi="宋体" w:eastAsia="宋体"/>
          <w:sz w:val="22"/>
          <w:szCs w:val="22"/>
        </w:rPr>
        <w:t>。邮编：5</w:t>
      </w:r>
      <w:r>
        <w:rPr>
          <w:rFonts w:hint="eastAsia" w:ascii="宋体" w:hAnsi="宋体" w:eastAsia="宋体"/>
          <w:sz w:val="22"/>
          <w:szCs w:val="22"/>
        </w:rPr>
        <w:t>23000</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3.投诉投诉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3.1投标供应商对采购人或采购代理机构的质疑答复不满意或在规定时间内未得到答复的，可以在答复期满后15个工作日内，按如下联系方式向政府采购监督管理机构投诉。       </w:t>
      </w:r>
    </w:p>
    <w:p>
      <w:pPr>
        <w:spacing w:line="480" w:lineRule="exact"/>
        <w:ind w:firstLine="440" w:firstLineChars="200"/>
        <w:rPr>
          <w:rFonts w:ascii="宋体" w:hAnsi="宋体" w:eastAsia="宋体"/>
          <w:sz w:val="22"/>
          <w:szCs w:val="22"/>
        </w:rPr>
      </w:pPr>
      <w:r>
        <w:rPr>
          <w:rFonts w:ascii="宋体" w:hAnsi="宋体" w:eastAsia="宋体"/>
          <w:sz w:val="22"/>
          <w:szCs w:val="22"/>
        </w:rPr>
        <w:t>3.2政府采购监督管理机构名称：</w:t>
      </w:r>
      <w:r>
        <w:rPr>
          <w:rFonts w:hint="eastAsia" w:ascii="宋体" w:hAnsi="宋体" w:eastAsia="宋体"/>
          <w:sz w:val="22"/>
          <w:szCs w:val="22"/>
        </w:rPr>
        <w:t>东莞市</w:t>
      </w:r>
      <w:r>
        <w:rPr>
          <w:rFonts w:ascii="宋体" w:hAnsi="宋体" w:eastAsia="宋体"/>
          <w:sz w:val="22"/>
          <w:szCs w:val="22"/>
        </w:rPr>
        <w:t>财政局政府采购监管科地址：</w:t>
      </w:r>
      <w:r>
        <w:rPr>
          <w:rFonts w:hint="eastAsia" w:ascii="宋体" w:hAnsi="宋体" w:eastAsia="宋体"/>
          <w:sz w:val="22"/>
          <w:szCs w:val="22"/>
        </w:rPr>
        <w:t xml:space="preserve">东莞市南城区鸿福路99号市行政办事中心 </w:t>
      </w:r>
      <w:r>
        <w:rPr>
          <w:rFonts w:ascii="宋体" w:hAnsi="宋体" w:eastAsia="宋体"/>
          <w:sz w:val="22"/>
          <w:szCs w:val="22"/>
        </w:rPr>
        <w:t>电话：</w:t>
      </w:r>
      <w:r>
        <w:rPr>
          <w:rFonts w:hint="eastAsia" w:ascii="宋体" w:hAnsi="宋体" w:eastAsia="宋体"/>
          <w:sz w:val="22"/>
          <w:szCs w:val="22"/>
        </w:rPr>
        <w:t>0769</w:t>
      </w:r>
      <w:r>
        <w:rPr>
          <w:rFonts w:ascii="宋体" w:hAnsi="宋体" w:eastAsia="宋体"/>
          <w:sz w:val="22"/>
          <w:szCs w:val="22"/>
        </w:rPr>
        <w:t>-</w:t>
      </w:r>
      <w:r>
        <w:rPr>
          <w:rFonts w:hint="eastAsia" w:ascii="宋体" w:hAnsi="宋体" w:eastAsia="宋体"/>
          <w:sz w:val="22"/>
          <w:szCs w:val="22"/>
        </w:rPr>
        <w:t>22830161</w:t>
      </w:r>
      <w:r>
        <w:rPr>
          <w:rFonts w:ascii="宋体" w:hAnsi="宋体" w:eastAsia="宋体"/>
          <w:sz w:val="22"/>
          <w:szCs w:val="22"/>
        </w:rPr>
        <w:t>邮编：5</w:t>
      </w:r>
      <w:r>
        <w:rPr>
          <w:rFonts w:hint="eastAsia" w:ascii="宋体" w:hAnsi="宋体" w:eastAsia="宋体"/>
          <w:sz w:val="22"/>
          <w:szCs w:val="22"/>
        </w:rPr>
        <w:t>23000</w:t>
      </w:r>
      <w:r>
        <w:rPr>
          <w:rFonts w:ascii="宋体" w:hAnsi="宋体" w:eastAsia="宋体"/>
          <w:sz w:val="22"/>
          <w:szCs w:val="22"/>
        </w:rPr>
        <w:t xml:space="preserve"> 传真：</w:t>
      </w:r>
      <w:r>
        <w:rPr>
          <w:rFonts w:hint="eastAsia" w:ascii="宋体" w:hAnsi="宋体" w:eastAsia="宋体"/>
          <w:sz w:val="22"/>
          <w:szCs w:val="22"/>
        </w:rPr>
        <w:t>0769</w:t>
      </w:r>
      <w:r>
        <w:rPr>
          <w:rFonts w:ascii="宋体" w:hAnsi="宋体" w:eastAsia="宋体"/>
          <w:sz w:val="22"/>
          <w:szCs w:val="22"/>
        </w:rPr>
        <w:t>-</w:t>
      </w:r>
      <w:r>
        <w:rPr>
          <w:rFonts w:hint="eastAsia" w:ascii="宋体" w:hAnsi="宋体" w:eastAsia="宋体"/>
          <w:sz w:val="22"/>
          <w:szCs w:val="22"/>
        </w:rPr>
        <w:t>22830161</w:t>
      </w:r>
    </w:p>
    <w:p>
      <w:pPr>
        <w:spacing w:line="480" w:lineRule="exact"/>
        <w:ind w:firstLine="440" w:firstLineChars="200"/>
        <w:rPr>
          <w:rFonts w:ascii="宋体" w:hAnsi="宋体" w:eastAsia="宋体"/>
          <w:sz w:val="22"/>
          <w:szCs w:val="22"/>
        </w:rPr>
      </w:pPr>
      <w:r>
        <w:rPr>
          <w:rFonts w:ascii="宋体" w:hAnsi="宋体" w:eastAsia="宋体"/>
          <w:sz w:val="22"/>
          <w:szCs w:val="22"/>
        </w:rPr>
        <w:t>七.合同的订立和履行合同</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1.合同的订立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1.1采购人与中标供应商自中标通知书发出之日起三十日内，按招标文件要求和中标供应商投标文件承诺签订政府采购合同，但不得超出招标文件和中标供应商投标文件的范围、也不得再行订立背离合同实质性内容的其他协议。       </w:t>
      </w:r>
    </w:p>
    <w:p>
      <w:pPr>
        <w:spacing w:line="480" w:lineRule="exact"/>
        <w:ind w:firstLine="440" w:firstLineChars="200"/>
        <w:rPr>
          <w:rFonts w:ascii="宋体" w:hAnsi="宋体" w:eastAsia="宋体"/>
          <w:sz w:val="22"/>
          <w:szCs w:val="22"/>
        </w:rPr>
      </w:pPr>
      <w:r>
        <w:rPr>
          <w:rFonts w:ascii="宋体" w:hAnsi="宋体" w:eastAsia="宋体"/>
          <w:sz w:val="22"/>
          <w:szCs w:val="22"/>
        </w:rPr>
        <w:t>1.2采购人应当自政府采购合同签订之日起2个工作日内，登陆广东省政府采购网上传政府采购合同扫描版，如实填报政府采购合同的签订时间。广东省政府采购网将会记录各采购人合同签订时间、公开和备案时间，作为通报的依据。</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2.合同的履行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       </w:t>
      </w:r>
    </w:p>
    <w:p>
      <w:pPr>
        <w:spacing w:line="480" w:lineRule="exact"/>
        <w:ind w:firstLine="440" w:firstLineChars="200"/>
        <w:rPr>
          <w:rFonts w:ascii="宋体" w:hAnsi="宋体" w:eastAsia="宋体"/>
          <w:sz w:val="22"/>
          <w:szCs w:val="22"/>
        </w:rPr>
      </w:pPr>
      <w:r>
        <w:rPr>
          <w:rFonts w:ascii="宋体" w:hAnsi="宋体" w:eastAsia="宋体"/>
          <w:sz w:val="22"/>
          <w:szCs w:val="22"/>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陆广东省政府采购网上传备案。</w:t>
      </w:r>
    </w:p>
    <w:p>
      <w:pPr>
        <w:spacing w:line="480" w:lineRule="exact"/>
        <w:ind w:firstLine="440" w:firstLineChars="200"/>
        <w:rPr>
          <w:rFonts w:ascii="宋体" w:hAnsi="宋体" w:eastAsia="宋体"/>
          <w:sz w:val="22"/>
          <w:szCs w:val="22"/>
        </w:rPr>
      </w:pPr>
      <w:r>
        <w:rPr>
          <w:rFonts w:ascii="宋体" w:hAnsi="宋体" w:eastAsia="宋体"/>
          <w:sz w:val="22"/>
          <w:szCs w:val="22"/>
        </w:rPr>
        <w:t>八.保密和披露</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1.投标人自获取招标文件之日起，须履行本招标项目下保密义务，不得将因本次招标获得的信息向第三人外传。      </w:t>
      </w:r>
    </w:p>
    <w:p>
      <w:pPr>
        <w:spacing w:line="480" w:lineRule="exact"/>
        <w:ind w:firstLine="440" w:firstLineChars="200"/>
        <w:rPr>
          <w:rFonts w:ascii="宋体" w:hAnsi="宋体" w:eastAsia="宋体"/>
          <w:sz w:val="22"/>
          <w:szCs w:val="22"/>
        </w:rPr>
      </w:pPr>
      <w:r>
        <w:rPr>
          <w:rFonts w:ascii="宋体" w:hAnsi="宋体" w:eastAsia="宋体"/>
          <w:sz w:val="22"/>
          <w:szCs w:val="22"/>
        </w:rPr>
        <w:t>2.采购人或采购代理机构有权将投标人提供的所有资料向有关政府部门或评审委员会披露。</w:t>
      </w:r>
    </w:p>
    <w:p>
      <w:pPr>
        <w:spacing w:line="480" w:lineRule="exact"/>
        <w:ind w:firstLine="440" w:firstLineChars="200"/>
        <w:rPr>
          <w:rFonts w:ascii="宋体" w:hAnsi="宋体" w:eastAsia="宋体"/>
          <w:sz w:val="22"/>
          <w:szCs w:val="22"/>
        </w:rPr>
      </w:pPr>
      <w:r>
        <w:rPr>
          <w:rFonts w:ascii="宋体" w:hAnsi="宋体" w:eastAsia="宋体"/>
          <w:sz w:val="22"/>
          <w:szCs w:val="22"/>
        </w:rPr>
        <w:t>3.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spacing w:line="480" w:lineRule="exact"/>
        <w:ind w:firstLine="440" w:firstLineChars="200"/>
        <w:rPr>
          <w:rFonts w:ascii="宋体" w:hAnsi="宋体" w:eastAsia="宋体"/>
          <w:sz w:val="22"/>
          <w:szCs w:val="22"/>
        </w:rPr>
      </w:pPr>
    </w:p>
    <w:p>
      <w:pPr>
        <w:spacing w:line="480" w:lineRule="exact"/>
        <w:ind w:firstLine="440" w:firstLineChars="200"/>
        <w:rPr>
          <w:rFonts w:ascii="宋体" w:hAnsi="宋体" w:eastAsia="宋体"/>
          <w:sz w:val="22"/>
          <w:szCs w:val="22"/>
        </w:rPr>
      </w:pPr>
    </w:p>
    <w:p>
      <w:pPr>
        <w:spacing w:line="480" w:lineRule="exact"/>
        <w:rPr>
          <w:rFonts w:ascii="宋体" w:hAnsi="宋体" w:eastAsia="宋体"/>
          <w:sz w:val="22"/>
          <w:szCs w:val="22"/>
        </w:rPr>
      </w:pPr>
    </w:p>
    <w:p>
      <w:pPr>
        <w:spacing w:line="480" w:lineRule="exact"/>
        <w:rPr>
          <w:rFonts w:ascii="宋体" w:hAnsi="宋体" w:eastAsia="宋体"/>
          <w:sz w:val="22"/>
          <w:szCs w:val="22"/>
        </w:rPr>
      </w:pPr>
    </w:p>
    <w:p/>
    <w:p>
      <w:pPr>
        <w:pStyle w:val="2"/>
        <w:keepNext w:val="0"/>
        <w:keepLines w:val="0"/>
        <w:spacing w:before="0" w:after="0" w:line="276" w:lineRule="auto"/>
        <w:jc w:val="center"/>
        <w:rPr>
          <w:rFonts w:hAnsi="宋体"/>
          <w:sz w:val="36"/>
          <w:szCs w:val="28"/>
        </w:rPr>
      </w:pPr>
      <w:bookmarkStart w:id="56" w:name="_Toc67490475"/>
      <w:r>
        <w:rPr>
          <w:rFonts w:hAnsi="宋体"/>
          <w:sz w:val="36"/>
          <w:szCs w:val="28"/>
        </w:rPr>
        <w:t>第四章 评审</w:t>
      </w:r>
      <w:bookmarkEnd w:id="56"/>
    </w:p>
    <w:p>
      <w:pPr>
        <w:spacing w:line="480" w:lineRule="exact"/>
        <w:ind w:firstLine="440" w:firstLineChars="200"/>
        <w:rPr>
          <w:rFonts w:ascii="宋体" w:hAnsi="宋体" w:eastAsia="宋体"/>
          <w:sz w:val="22"/>
          <w:szCs w:val="22"/>
        </w:rPr>
      </w:pPr>
      <w:r>
        <w:rPr>
          <w:rFonts w:ascii="宋体" w:hAnsi="宋体" w:eastAsia="宋体"/>
          <w:sz w:val="22"/>
          <w:szCs w:val="22"/>
        </w:rPr>
        <w:t>一、评审要求</w:t>
      </w:r>
    </w:p>
    <w:p>
      <w:pPr>
        <w:spacing w:line="480" w:lineRule="exact"/>
        <w:ind w:firstLine="440" w:firstLineChars="200"/>
        <w:rPr>
          <w:rFonts w:ascii="宋体" w:hAnsi="宋体" w:eastAsia="宋体"/>
          <w:sz w:val="22"/>
          <w:szCs w:val="22"/>
        </w:rPr>
      </w:pPr>
      <w:r>
        <w:rPr>
          <w:rFonts w:ascii="宋体" w:hAnsi="宋体" w:eastAsia="宋体"/>
          <w:sz w:val="22"/>
          <w:szCs w:val="22"/>
        </w:rPr>
        <w:t>1.评标方法</w:t>
      </w:r>
    </w:p>
    <w:p>
      <w:pPr>
        <w:spacing w:line="480" w:lineRule="exact"/>
        <w:ind w:firstLine="440" w:firstLineChars="200"/>
        <w:rPr>
          <w:rFonts w:ascii="宋体" w:hAnsi="宋体" w:eastAsia="宋体"/>
          <w:sz w:val="22"/>
          <w:szCs w:val="22"/>
        </w:rPr>
      </w:pPr>
      <w:r>
        <w:rPr>
          <w:rFonts w:ascii="宋体" w:hAnsi="宋体" w:eastAsia="宋体"/>
          <w:sz w:val="22"/>
          <w:szCs w:val="22"/>
        </w:rPr>
        <w:t>包组1(</w:t>
      </w:r>
      <w:r>
        <w:rPr>
          <w:rFonts w:hint="eastAsia" w:asciiTheme="minorEastAsia" w:hAnsiTheme="minorEastAsia" w:eastAsiaTheme="minorEastAsia"/>
          <w:sz w:val="20"/>
        </w:rPr>
        <w:t>公共卫生服务设备</w:t>
      </w:r>
      <w:r>
        <w:rPr>
          <w:rFonts w:ascii="宋体" w:hAnsi="宋体" w:eastAsia="宋体"/>
          <w:sz w:val="22"/>
          <w:szCs w:val="22"/>
        </w:rPr>
        <w:t>)：综合评分法,是指投标文件满足招标文件全部实质性要求，且按照评审因素的量化指标评审得分最高的投标人为中标候选人的评标方法。（最低报价不是中标的唯一依据。）</w:t>
      </w:r>
    </w:p>
    <w:p>
      <w:pPr>
        <w:spacing w:line="480" w:lineRule="exact"/>
        <w:ind w:firstLine="440" w:firstLineChars="200"/>
        <w:rPr>
          <w:rFonts w:ascii="宋体" w:hAnsi="宋体" w:eastAsia="宋体"/>
          <w:sz w:val="22"/>
          <w:szCs w:val="22"/>
        </w:rPr>
      </w:pPr>
      <w:r>
        <w:rPr>
          <w:rFonts w:ascii="宋体" w:hAnsi="宋体" w:eastAsia="宋体"/>
          <w:sz w:val="22"/>
          <w:szCs w:val="22"/>
        </w:rPr>
        <w:t>2.评标原则</w:t>
      </w:r>
    </w:p>
    <w:p>
      <w:pPr>
        <w:spacing w:line="480" w:lineRule="exact"/>
        <w:ind w:firstLine="440" w:firstLineChars="200"/>
        <w:rPr>
          <w:rFonts w:ascii="宋体" w:hAnsi="宋体" w:eastAsia="宋体"/>
          <w:sz w:val="22"/>
          <w:szCs w:val="22"/>
        </w:rPr>
      </w:pPr>
      <w:r>
        <w:rPr>
          <w:rFonts w:ascii="宋体" w:hAnsi="宋体" w:eastAsia="宋体"/>
          <w:sz w:val="22"/>
          <w:szCs w:val="22"/>
        </w:rPr>
        <w:t>2.1评标活动遵循公平、公正、科学和择优的原则，以招标文件和投标文件为评标的基本依据，并按照招标文件规定的评标方法和评标标准进行评标。</w:t>
      </w:r>
    </w:p>
    <w:p>
      <w:pPr>
        <w:spacing w:line="480" w:lineRule="exact"/>
        <w:ind w:firstLine="440" w:firstLineChars="200"/>
        <w:rPr>
          <w:rFonts w:ascii="宋体" w:hAnsi="宋体" w:eastAsia="宋体"/>
          <w:sz w:val="22"/>
          <w:szCs w:val="22"/>
        </w:rPr>
      </w:pPr>
      <w:r>
        <w:rPr>
          <w:rFonts w:ascii="宋体" w:hAnsi="宋体" w:eastAsia="宋体"/>
          <w:sz w:val="22"/>
          <w:szCs w:val="22"/>
        </w:rPr>
        <w:t>2.2具体评标事项由评审委员会负责，并按招标文件的规定办法进行评审。</w:t>
      </w:r>
    </w:p>
    <w:p>
      <w:pPr>
        <w:spacing w:line="480" w:lineRule="exact"/>
        <w:ind w:firstLine="440" w:firstLineChars="200"/>
        <w:rPr>
          <w:rFonts w:ascii="宋体" w:hAnsi="宋体" w:eastAsia="宋体"/>
          <w:sz w:val="22"/>
          <w:szCs w:val="22"/>
        </w:rPr>
      </w:pPr>
      <w:r>
        <w:rPr>
          <w:rFonts w:ascii="宋体" w:hAnsi="宋体" w:eastAsia="宋体"/>
          <w:sz w:val="22"/>
          <w:szCs w:val="22"/>
        </w:rPr>
        <w:t>2.3合格投标供应商不足三家的，不得评标。</w:t>
      </w:r>
    </w:p>
    <w:p>
      <w:pPr>
        <w:spacing w:line="480" w:lineRule="exact"/>
        <w:ind w:firstLine="440" w:firstLineChars="200"/>
        <w:rPr>
          <w:rFonts w:ascii="宋体" w:hAnsi="宋体" w:eastAsia="宋体"/>
          <w:sz w:val="22"/>
          <w:szCs w:val="22"/>
        </w:rPr>
      </w:pPr>
      <w:r>
        <w:rPr>
          <w:rFonts w:ascii="宋体" w:hAnsi="宋体" w:eastAsia="宋体"/>
          <w:sz w:val="22"/>
          <w:szCs w:val="22"/>
        </w:rPr>
        <w:t>3.评标委员会评标委员会</w:t>
      </w:r>
    </w:p>
    <w:p>
      <w:pPr>
        <w:spacing w:line="480" w:lineRule="exact"/>
        <w:ind w:firstLine="440" w:firstLineChars="200"/>
        <w:rPr>
          <w:rFonts w:ascii="宋体" w:hAnsi="宋体" w:eastAsia="宋体"/>
          <w:sz w:val="22"/>
          <w:szCs w:val="22"/>
        </w:rPr>
      </w:pPr>
      <w:r>
        <w:rPr>
          <w:rFonts w:ascii="宋体" w:hAnsi="宋体" w:eastAsia="宋体"/>
          <w:sz w:val="22"/>
          <w:szCs w:val="22"/>
        </w:rPr>
        <w:t>3.1评审委员会由采购人代表和评标专家组成，成员人数为5人及以上单数，其中技术、经济等方面的评审专家不得少于成员总数的三分之二。</w:t>
      </w:r>
    </w:p>
    <w:p>
      <w:pPr>
        <w:spacing w:line="480" w:lineRule="exact"/>
        <w:ind w:firstLine="440" w:firstLineChars="200"/>
        <w:rPr>
          <w:rFonts w:ascii="宋体" w:hAnsi="宋体" w:eastAsia="宋体"/>
          <w:sz w:val="22"/>
          <w:szCs w:val="22"/>
        </w:rPr>
      </w:pPr>
      <w:r>
        <w:rPr>
          <w:rFonts w:ascii="宋体" w:hAnsi="宋体" w:eastAsia="宋体"/>
          <w:sz w:val="22"/>
          <w:szCs w:val="22"/>
        </w:rPr>
        <w:t>3.2评审委员会成员有下列情形之一的，应当回避：</w:t>
      </w:r>
    </w:p>
    <w:p>
      <w:pPr>
        <w:spacing w:line="480" w:lineRule="exact"/>
        <w:ind w:firstLine="440" w:firstLineChars="200"/>
        <w:rPr>
          <w:rFonts w:ascii="宋体" w:hAnsi="宋体" w:eastAsia="宋体"/>
          <w:sz w:val="22"/>
          <w:szCs w:val="22"/>
        </w:rPr>
      </w:pPr>
      <w:r>
        <w:rPr>
          <w:rFonts w:ascii="宋体" w:hAnsi="宋体" w:eastAsia="宋体"/>
          <w:sz w:val="22"/>
          <w:szCs w:val="22"/>
        </w:rPr>
        <w:t>（1）参加采购活动前3年内与供应商存在劳动关系；</w:t>
      </w:r>
    </w:p>
    <w:p>
      <w:pPr>
        <w:spacing w:line="480" w:lineRule="exact"/>
        <w:ind w:firstLine="440" w:firstLineChars="200"/>
        <w:rPr>
          <w:rFonts w:ascii="宋体" w:hAnsi="宋体" w:eastAsia="宋体"/>
          <w:sz w:val="22"/>
          <w:szCs w:val="22"/>
        </w:rPr>
      </w:pPr>
      <w:r>
        <w:rPr>
          <w:rFonts w:ascii="宋体" w:hAnsi="宋体" w:eastAsia="宋体"/>
          <w:sz w:val="22"/>
          <w:szCs w:val="22"/>
        </w:rPr>
        <w:t>（2）参加采购活动前3年内担任供应商的董事、监事；</w:t>
      </w:r>
    </w:p>
    <w:p>
      <w:pPr>
        <w:spacing w:line="480" w:lineRule="exact"/>
        <w:ind w:firstLine="440" w:firstLineChars="200"/>
        <w:rPr>
          <w:rFonts w:ascii="宋体" w:hAnsi="宋体" w:eastAsia="宋体"/>
          <w:sz w:val="22"/>
          <w:szCs w:val="22"/>
        </w:rPr>
      </w:pPr>
      <w:r>
        <w:rPr>
          <w:rFonts w:ascii="宋体" w:hAnsi="宋体" w:eastAsia="宋体"/>
          <w:sz w:val="22"/>
          <w:szCs w:val="22"/>
        </w:rPr>
        <w:t>（3）参加采购活动前3年内是供应商的控股股东或者实际控制人；</w:t>
      </w:r>
    </w:p>
    <w:p>
      <w:pPr>
        <w:spacing w:line="480" w:lineRule="exact"/>
        <w:ind w:firstLine="440" w:firstLineChars="200"/>
        <w:rPr>
          <w:rFonts w:ascii="宋体" w:hAnsi="宋体" w:eastAsia="宋体"/>
          <w:sz w:val="22"/>
          <w:szCs w:val="22"/>
        </w:rPr>
      </w:pPr>
      <w:r>
        <w:rPr>
          <w:rFonts w:ascii="宋体" w:hAnsi="宋体" w:eastAsia="宋体"/>
          <w:sz w:val="22"/>
          <w:szCs w:val="22"/>
        </w:rPr>
        <w:t>（4）与供应商的法定代表人或者负责人有夫妻、直系血亲、三代以内旁系血亲或者近姻亲关系；</w:t>
      </w:r>
    </w:p>
    <w:p>
      <w:pPr>
        <w:spacing w:line="480" w:lineRule="exact"/>
        <w:ind w:firstLine="440" w:firstLineChars="200"/>
        <w:rPr>
          <w:rFonts w:ascii="宋体" w:hAnsi="宋体" w:eastAsia="宋体"/>
          <w:sz w:val="22"/>
          <w:szCs w:val="22"/>
        </w:rPr>
      </w:pPr>
      <w:r>
        <w:rPr>
          <w:rFonts w:ascii="宋体" w:hAnsi="宋体" w:eastAsia="宋体"/>
          <w:sz w:val="22"/>
          <w:szCs w:val="22"/>
        </w:rPr>
        <w:t>（5）与供应商有其他可能影响政府采购活动公平、公正进行的关系。</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3.3评审委员会负责具体评标事务，并独立履行下列职责：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（1）审查、评价投标文件是否符合招标文件的商务、技术等实质性要求；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（2）要求投标供应商对投标文件有关事项作出澄清或者说明；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（3）对投标文件进行比较和评价；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（4）确定中标候选人名单，以及根据采购人委托直接确定中标供应商；  </w:t>
      </w:r>
    </w:p>
    <w:p>
      <w:pPr>
        <w:spacing w:line="480" w:lineRule="exact"/>
        <w:ind w:firstLine="440" w:firstLineChars="200"/>
        <w:rPr>
          <w:rFonts w:ascii="宋体" w:hAnsi="宋体" w:eastAsia="宋体"/>
          <w:sz w:val="22"/>
          <w:szCs w:val="22"/>
        </w:rPr>
      </w:pPr>
      <w:r>
        <w:rPr>
          <w:rFonts w:ascii="宋体" w:hAnsi="宋体" w:eastAsia="宋体"/>
          <w:sz w:val="22"/>
          <w:szCs w:val="22"/>
        </w:rPr>
        <w:t>（5）向采购人、采购代理机构或者有关部门报告评标中发现的违法行为；</w:t>
      </w:r>
    </w:p>
    <w:p>
      <w:pPr>
        <w:spacing w:line="480" w:lineRule="exact"/>
        <w:ind w:firstLine="440" w:firstLineChars="200"/>
        <w:rPr>
          <w:rFonts w:ascii="宋体" w:hAnsi="宋体" w:eastAsia="宋体"/>
          <w:sz w:val="22"/>
          <w:szCs w:val="22"/>
        </w:rPr>
      </w:pPr>
      <w:r>
        <w:rPr>
          <w:rFonts w:ascii="宋体" w:hAnsi="宋体" w:eastAsia="宋体"/>
          <w:sz w:val="22"/>
          <w:szCs w:val="22"/>
        </w:rPr>
        <w:t>（6）法律法规规定的其他职责。</w:t>
      </w:r>
    </w:p>
    <w:p>
      <w:pPr>
        <w:spacing w:line="480" w:lineRule="exact"/>
        <w:ind w:firstLine="440" w:firstLineChars="200"/>
        <w:rPr>
          <w:rFonts w:ascii="宋体" w:hAnsi="宋体" w:eastAsia="宋体"/>
          <w:sz w:val="22"/>
          <w:szCs w:val="22"/>
        </w:rPr>
      </w:pPr>
      <w:r>
        <w:rPr>
          <w:rFonts w:ascii="宋体" w:hAnsi="宋体" w:eastAsia="宋体"/>
          <w:sz w:val="22"/>
          <w:szCs w:val="22"/>
        </w:rPr>
        <w:t>4.有下列情形之一的，视为串通投标，其投标无效；有下列情形之一的，视为串通投标，其投标无效；</w:t>
      </w:r>
    </w:p>
    <w:p>
      <w:pPr>
        <w:spacing w:line="480" w:lineRule="exact"/>
        <w:ind w:firstLine="440" w:firstLineChars="200"/>
        <w:rPr>
          <w:rFonts w:ascii="宋体" w:hAnsi="宋体" w:eastAsia="宋体"/>
          <w:sz w:val="22"/>
          <w:szCs w:val="22"/>
        </w:rPr>
      </w:pPr>
      <w:r>
        <w:rPr>
          <w:rFonts w:ascii="宋体" w:hAnsi="宋体" w:eastAsia="宋体"/>
          <w:sz w:val="22"/>
          <w:szCs w:val="22"/>
        </w:rPr>
        <w:t>（1）不同投标供应商的投标文件由同一单位或者个人编制；</w:t>
      </w:r>
    </w:p>
    <w:p>
      <w:pPr>
        <w:spacing w:line="480" w:lineRule="exact"/>
        <w:ind w:firstLine="440" w:firstLineChars="200"/>
        <w:rPr>
          <w:rFonts w:ascii="宋体" w:hAnsi="宋体" w:eastAsia="宋体"/>
          <w:sz w:val="22"/>
          <w:szCs w:val="22"/>
        </w:rPr>
      </w:pPr>
      <w:r>
        <w:rPr>
          <w:rFonts w:ascii="宋体" w:hAnsi="宋体" w:eastAsia="宋体"/>
          <w:sz w:val="22"/>
          <w:szCs w:val="22"/>
        </w:rPr>
        <w:t>（2）不同投标供应商委托同一单位或者个人办理投标事宜；</w:t>
      </w:r>
    </w:p>
    <w:p>
      <w:pPr>
        <w:spacing w:line="480" w:lineRule="exact"/>
        <w:ind w:firstLine="440" w:firstLineChars="200"/>
        <w:rPr>
          <w:rFonts w:ascii="宋体" w:hAnsi="宋体" w:eastAsia="宋体"/>
          <w:sz w:val="22"/>
          <w:szCs w:val="22"/>
        </w:rPr>
      </w:pPr>
      <w:r>
        <w:rPr>
          <w:rFonts w:ascii="宋体" w:hAnsi="宋体" w:eastAsia="宋体"/>
          <w:sz w:val="22"/>
          <w:szCs w:val="22"/>
        </w:rPr>
        <w:t>（3）不同投标供应商的投标文件载明的项目管理成员或者联系人员为同一人；</w:t>
      </w:r>
    </w:p>
    <w:p>
      <w:pPr>
        <w:spacing w:line="480" w:lineRule="exact"/>
        <w:ind w:firstLine="440" w:firstLineChars="200"/>
        <w:rPr>
          <w:rFonts w:ascii="宋体" w:hAnsi="宋体" w:eastAsia="宋体"/>
          <w:sz w:val="22"/>
          <w:szCs w:val="22"/>
        </w:rPr>
      </w:pPr>
      <w:r>
        <w:rPr>
          <w:rFonts w:ascii="宋体" w:hAnsi="宋体" w:eastAsia="宋体"/>
          <w:sz w:val="22"/>
          <w:szCs w:val="22"/>
        </w:rPr>
        <w:t>（4）不同投标供应商的投标文件异常一致或者投标报价呈规律性差异；</w:t>
      </w:r>
    </w:p>
    <w:p>
      <w:pPr>
        <w:spacing w:line="480" w:lineRule="exact"/>
        <w:ind w:firstLine="440" w:firstLineChars="200"/>
        <w:rPr>
          <w:rFonts w:ascii="宋体" w:hAnsi="宋体" w:eastAsia="宋体"/>
          <w:sz w:val="22"/>
          <w:szCs w:val="22"/>
        </w:rPr>
      </w:pPr>
      <w:r>
        <w:rPr>
          <w:rFonts w:ascii="宋体" w:hAnsi="宋体" w:eastAsia="宋体"/>
          <w:sz w:val="22"/>
          <w:szCs w:val="22"/>
        </w:rPr>
        <w:t>（5）不同投标人的投标文件相互混装；</w:t>
      </w:r>
    </w:p>
    <w:p>
      <w:pPr>
        <w:spacing w:line="480" w:lineRule="exact"/>
        <w:ind w:firstLine="440" w:firstLineChars="200"/>
        <w:rPr>
          <w:rFonts w:ascii="宋体" w:hAnsi="宋体" w:eastAsia="宋体"/>
          <w:sz w:val="22"/>
          <w:szCs w:val="22"/>
        </w:rPr>
      </w:pPr>
      <w:r>
        <w:rPr>
          <w:rFonts w:ascii="宋体" w:hAnsi="宋体" w:eastAsia="宋体"/>
          <w:sz w:val="22"/>
          <w:szCs w:val="22"/>
        </w:rPr>
        <w:t>（6）不同投标供应商的投标保证金（或支付投标担保函费用）为从同一单位或个人的账户转出；说明：在评标过程中发现投标供应商有上述情形的，评审委员会应当认定其投标无效，并书面报告本级财政部门。同时，项目评审时被认定为串通投标的投标供应商不得参加该合同项下的采购活动。</w:t>
      </w:r>
    </w:p>
    <w:p>
      <w:pPr>
        <w:spacing w:line="480" w:lineRule="exact"/>
        <w:ind w:firstLine="440" w:firstLineChars="200"/>
        <w:rPr>
          <w:rFonts w:ascii="宋体" w:hAnsi="宋体" w:eastAsia="宋体"/>
          <w:sz w:val="22"/>
          <w:szCs w:val="22"/>
        </w:rPr>
      </w:pPr>
      <w:r>
        <w:rPr>
          <w:rFonts w:ascii="宋体" w:hAnsi="宋体" w:eastAsia="宋体"/>
          <w:sz w:val="22"/>
          <w:szCs w:val="22"/>
        </w:rPr>
        <w:t>5.有下列情形之一的，属于恶意串通投标：有下列情形之一的，属于恶意串通投标：</w:t>
      </w:r>
    </w:p>
    <w:p>
      <w:pPr>
        <w:spacing w:line="480" w:lineRule="exact"/>
        <w:ind w:firstLine="440" w:firstLineChars="200"/>
        <w:rPr>
          <w:rFonts w:ascii="宋体" w:hAnsi="宋体" w:eastAsia="宋体"/>
          <w:sz w:val="22"/>
          <w:szCs w:val="22"/>
        </w:rPr>
      </w:pPr>
      <w:r>
        <w:rPr>
          <w:rFonts w:ascii="宋体" w:hAnsi="宋体" w:eastAsia="宋体"/>
          <w:sz w:val="22"/>
          <w:szCs w:val="22"/>
        </w:rPr>
        <w:t>（1）投标供应商直接或者间接从采购人或者采购代理机构处获得其他投标供应商的相关情况并修改其投标文件；</w:t>
      </w:r>
    </w:p>
    <w:p>
      <w:pPr>
        <w:spacing w:line="480" w:lineRule="exact"/>
        <w:ind w:firstLine="440" w:firstLineChars="200"/>
        <w:rPr>
          <w:rFonts w:ascii="宋体" w:hAnsi="宋体" w:eastAsia="宋体"/>
          <w:sz w:val="22"/>
          <w:szCs w:val="22"/>
        </w:rPr>
      </w:pPr>
      <w:r>
        <w:rPr>
          <w:rFonts w:ascii="宋体" w:hAnsi="宋体" w:eastAsia="宋体"/>
          <w:sz w:val="22"/>
          <w:szCs w:val="22"/>
        </w:rPr>
        <w:t>（2）投标供应商按照采购人或者采购代理机构的授意撤换、修改投标文件；</w:t>
      </w:r>
    </w:p>
    <w:p>
      <w:pPr>
        <w:spacing w:line="480" w:lineRule="exact"/>
        <w:ind w:firstLine="440" w:firstLineChars="200"/>
        <w:rPr>
          <w:rFonts w:ascii="宋体" w:hAnsi="宋体" w:eastAsia="宋体"/>
          <w:sz w:val="22"/>
          <w:szCs w:val="22"/>
        </w:rPr>
      </w:pPr>
      <w:r>
        <w:rPr>
          <w:rFonts w:ascii="宋体" w:hAnsi="宋体" w:eastAsia="宋体"/>
          <w:sz w:val="22"/>
          <w:szCs w:val="22"/>
        </w:rPr>
        <w:t>（3）投标供应商之间协商报价、技术方案等投标文件的实质性内容；</w:t>
      </w:r>
    </w:p>
    <w:p>
      <w:pPr>
        <w:spacing w:line="480" w:lineRule="exact"/>
        <w:ind w:firstLine="440" w:firstLineChars="200"/>
        <w:rPr>
          <w:rFonts w:ascii="宋体" w:hAnsi="宋体" w:eastAsia="宋体"/>
          <w:sz w:val="22"/>
          <w:szCs w:val="22"/>
        </w:rPr>
      </w:pPr>
      <w:r>
        <w:rPr>
          <w:rFonts w:ascii="宋体" w:hAnsi="宋体" w:eastAsia="宋体"/>
          <w:sz w:val="22"/>
          <w:szCs w:val="22"/>
        </w:rPr>
        <w:t>（4）属于同一集团、协会、商会等组织成员的投标供应商按照该组织要求协同参加政府采购活动；</w:t>
      </w:r>
    </w:p>
    <w:p>
      <w:pPr>
        <w:spacing w:line="480" w:lineRule="exact"/>
        <w:ind w:firstLine="440" w:firstLineChars="200"/>
        <w:rPr>
          <w:rFonts w:ascii="宋体" w:hAnsi="宋体" w:eastAsia="宋体"/>
          <w:sz w:val="22"/>
          <w:szCs w:val="22"/>
        </w:rPr>
      </w:pPr>
      <w:r>
        <w:rPr>
          <w:rFonts w:ascii="宋体" w:hAnsi="宋体" w:eastAsia="宋体"/>
          <w:sz w:val="22"/>
          <w:szCs w:val="22"/>
        </w:rPr>
        <w:t>（5）投标供应商之间事先约定由某一特定投标供应商中标；</w:t>
      </w:r>
    </w:p>
    <w:p>
      <w:pPr>
        <w:spacing w:line="480" w:lineRule="exact"/>
        <w:ind w:firstLine="440" w:firstLineChars="200"/>
        <w:rPr>
          <w:rFonts w:ascii="宋体" w:hAnsi="宋体" w:eastAsia="宋体"/>
          <w:sz w:val="22"/>
          <w:szCs w:val="22"/>
        </w:rPr>
      </w:pPr>
      <w:r>
        <w:rPr>
          <w:rFonts w:ascii="宋体" w:hAnsi="宋体" w:eastAsia="宋体"/>
          <w:sz w:val="22"/>
          <w:szCs w:val="22"/>
        </w:rPr>
        <w:t>（6）投标供应商之间商定部分投标供应商放弃参加政府采购活动或者放弃中标；</w:t>
      </w:r>
    </w:p>
    <w:p>
      <w:pPr>
        <w:spacing w:line="480" w:lineRule="exact"/>
        <w:ind w:firstLine="440" w:firstLineChars="200"/>
        <w:rPr>
          <w:rFonts w:ascii="宋体" w:hAnsi="宋体" w:eastAsia="宋体"/>
          <w:sz w:val="22"/>
          <w:szCs w:val="22"/>
        </w:rPr>
      </w:pPr>
      <w:r>
        <w:rPr>
          <w:rFonts w:ascii="宋体" w:hAnsi="宋体" w:eastAsia="宋体"/>
          <w:sz w:val="22"/>
          <w:szCs w:val="22"/>
        </w:rPr>
        <w:t>（7）投标供应商与采购人或者采购代理机构之间、投标供应商相互之间，为谋求特定投标供应商中标或者排斥其他投标供应商的其他串通行为。</w:t>
      </w:r>
    </w:p>
    <w:p>
      <w:pPr>
        <w:spacing w:line="480" w:lineRule="exact"/>
        <w:ind w:firstLine="440" w:firstLineChars="200"/>
        <w:rPr>
          <w:rFonts w:ascii="宋体" w:hAnsi="宋体" w:eastAsia="宋体"/>
          <w:sz w:val="22"/>
          <w:szCs w:val="22"/>
        </w:rPr>
      </w:pPr>
      <w:r>
        <w:rPr>
          <w:rFonts w:ascii="宋体" w:hAnsi="宋体" w:eastAsia="宋体"/>
          <w:sz w:val="22"/>
          <w:szCs w:val="22"/>
        </w:rPr>
        <w:t>6.投标无效的情形投标无效的情形详见资格性审查、符合性审查和招标文件其他投标无效条款。</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7.废标的情形废标的情形出现下列情形之一的，应予以废标。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（1）符合专业条件的投标供应商或者对招标文件作实质响应的投标供应商不足3家；（或参与竞争的核心产品品牌不足3个）的；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（2）出现影响采购公正的违法、违规行为的；  </w:t>
      </w:r>
    </w:p>
    <w:p>
      <w:pPr>
        <w:spacing w:line="480" w:lineRule="exact"/>
        <w:ind w:firstLine="440" w:firstLineChars="200"/>
        <w:rPr>
          <w:rFonts w:ascii="宋体" w:hAnsi="宋体" w:eastAsia="宋体"/>
          <w:sz w:val="22"/>
          <w:szCs w:val="22"/>
        </w:rPr>
      </w:pPr>
      <w:r>
        <w:rPr>
          <w:rFonts w:ascii="宋体" w:hAnsi="宋体" w:eastAsia="宋体"/>
          <w:sz w:val="22"/>
          <w:szCs w:val="22"/>
        </w:rPr>
        <w:t>（3）投标供应商的报价均超过了采购预算；</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（4）因重大变故，采购任务取消；  </w:t>
      </w:r>
    </w:p>
    <w:p>
      <w:pPr>
        <w:spacing w:line="480" w:lineRule="exact"/>
        <w:ind w:firstLine="440" w:firstLineChars="200"/>
        <w:rPr>
          <w:rFonts w:ascii="宋体" w:hAnsi="宋体" w:eastAsia="宋体"/>
          <w:sz w:val="22"/>
          <w:szCs w:val="22"/>
        </w:rPr>
      </w:pPr>
      <w:r>
        <w:rPr>
          <w:rFonts w:ascii="宋体" w:hAnsi="宋体" w:eastAsia="宋体"/>
          <w:sz w:val="22"/>
          <w:szCs w:val="22"/>
        </w:rPr>
        <w:t>（5）法律、法规以及招标文件规定其他情形。</w:t>
      </w:r>
    </w:p>
    <w:p>
      <w:pPr>
        <w:spacing w:line="480" w:lineRule="exact"/>
        <w:ind w:firstLine="440" w:firstLineChars="200"/>
        <w:rPr>
          <w:rFonts w:ascii="宋体" w:hAnsi="宋体" w:eastAsia="宋体"/>
          <w:sz w:val="22"/>
          <w:szCs w:val="22"/>
        </w:rPr>
      </w:pPr>
      <w:r>
        <w:rPr>
          <w:rFonts w:ascii="宋体" w:hAnsi="宋体" w:eastAsia="宋体"/>
          <w:sz w:val="22"/>
          <w:szCs w:val="22"/>
        </w:rPr>
        <w:t>8.定标定标评审委员会按照招标文件确定的评标方法、步骤、标准，对投标文件进行评审。评标结束后，对投标供应商的评审名次进行排序，确定中标供应商或者推荐中标候选人。</w:t>
      </w:r>
    </w:p>
    <w:p>
      <w:pPr>
        <w:spacing w:line="480" w:lineRule="exact"/>
        <w:ind w:firstLine="440" w:firstLineChars="200"/>
        <w:rPr>
          <w:rFonts w:ascii="宋体" w:hAnsi="宋体" w:eastAsia="宋体"/>
          <w:sz w:val="22"/>
          <w:szCs w:val="22"/>
        </w:rPr>
      </w:pPr>
      <w:r>
        <w:rPr>
          <w:rFonts w:ascii="宋体" w:hAnsi="宋体" w:eastAsia="宋体"/>
          <w:sz w:val="22"/>
          <w:szCs w:val="22"/>
        </w:rPr>
        <w:t>9.价格评审价格评审对报价的计算错误按以下原则修正：</w:t>
      </w:r>
    </w:p>
    <w:p>
      <w:pPr>
        <w:spacing w:line="480" w:lineRule="exact"/>
        <w:ind w:firstLine="440" w:firstLineChars="200"/>
        <w:rPr>
          <w:rFonts w:ascii="宋体" w:hAnsi="宋体" w:eastAsia="宋体"/>
          <w:sz w:val="22"/>
          <w:szCs w:val="22"/>
        </w:rPr>
      </w:pPr>
      <w:r>
        <w:rPr>
          <w:rFonts w:ascii="宋体" w:hAnsi="宋体" w:eastAsia="宋体"/>
          <w:sz w:val="22"/>
          <w:szCs w:val="22"/>
        </w:rPr>
        <w:t>（1）投标文件中开标一览表（报价表）内容与投标文件中相应内容不一致的，以开标一览表（报价表）为准；</w:t>
      </w:r>
    </w:p>
    <w:p>
      <w:pPr>
        <w:spacing w:line="480" w:lineRule="exact"/>
        <w:ind w:firstLine="440" w:firstLineChars="200"/>
        <w:rPr>
          <w:rFonts w:ascii="宋体" w:hAnsi="宋体" w:eastAsia="宋体"/>
          <w:sz w:val="22"/>
          <w:szCs w:val="22"/>
        </w:rPr>
      </w:pPr>
      <w:r>
        <w:rPr>
          <w:rFonts w:ascii="宋体" w:hAnsi="宋体" w:eastAsia="宋体"/>
          <w:sz w:val="22"/>
          <w:szCs w:val="22"/>
        </w:rPr>
        <w:t>（2）大写金额和小写金额不一致的，以大写金额为准；</w:t>
      </w:r>
    </w:p>
    <w:p>
      <w:pPr>
        <w:spacing w:line="480" w:lineRule="exact"/>
        <w:ind w:firstLine="440" w:firstLineChars="200"/>
        <w:rPr>
          <w:rFonts w:ascii="宋体" w:hAnsi="宋体" w:eastAsia="宋体"/>
          <w:sz w:val="22"/>
          <w:szCs w:val="22"/>
        </w:rPr>
      </w:pPr>
      <w:r>
        <w:rPr>
          <w:rFonts w:ascii="宋体" w:hAnsi="宋体" w:eastAsia="宋体"/>
          <w:sz w:val="22"/>
          <w:szCs w:val="22"/>
        </w:rPr>
        <w:t>（3）单价金额小数点或者百分比有明显错位的，以开标一览表的总价为准，并修改单价。</w:t>
      </w:r>
    </w:p>
    <w:p>
      <w:pPr>
        <w:spacing w:line="480" w:lineRule="exact"/>
        <w:ind w:firstLine="440" w:firstLineChars="200"/>
        <w:rPr>
          <w:rFonts w:ascii="宋体" w:hAnsi="宋体" w:eastAsia="宋体"/>
          <w:sz w:val="22"/>
          <w:szCs w:val="22"/>
        </w:rPr>
      </w:pPr>
      <w:r>
        <w:rPr>
          <w:rFonts w:ascii="宋体" w:hAnsi="宋体" w:eastAsia="宋体"/>
          <w:sz w:val="22"/>
          <w:szCs w:val="22"/>
        </w:rPr>
        <w:t>（4）总价金额与按单价汇总金额不一致的，以单价金额计算结果为准。但是单价金额计算结果超过预算价的，对其按无效投标处理。</w:t>
      </w:r>
    </w:p>
    <w:p>
      <w:pPr>
        <w:spacing w:line="480" w:lineRule="exact"/>
        <w:ind w:firstLine="440" w:firstLineChars="200"/>
        <w:rPr>
          <w:rFonts w:ascii="宋体" w:hAnsi="宋体" w:eastAsia="宋体"/>
          <w:sz w:val="22"/>
          <w:szCs w:val="22"/>
        </w:rPr>
      </w:pPr>
      <w:r>
        <w:rPr>
          <w:rFonts w:ascii="宋体" w:hAnsi="宋体" w:eastAsia="宋体"/>
          <w:sz w:val="22"/>
          <w:szCs w:val="22"/>
        </w:rPr>
        <w:t>（5）实行电子投标的项目，若投标客户端上传的电子报价数据与投标文件（电子或纸质）价格不一致的，以电子报价数据为准。电子投标文件应与纸质投标文件（如有）一致，如不一致时以电子投标文件为准。注：同时出现两种以上不一致的，按照前款规定的顺序修正。修正后的报价投标供应商应当采用书面形式，并加盖公章，或者由法定代表人或其授权的代表签字确认后产生约束力，但不得超出投标文件的范围或者改变投标文件的实质性内容，投标供应商不确认的，其投标无效。</w:t>
      </w:r>
    </w:p>
    <w:p>
      <w:pPr>
        <w:spacing w:line="480" w:lineRule="exact"/>
        <w:ind w:firstLine="440" w:firstLineChars="200"/>
        <w:rPr>
          <w:rFonts w:ascii="宋体" w:hAnsi="宋体" w:eastAsia="宋体"/>
          <w:sz w:val="22"/>
          <w:szCs w:val="22"/>
        </w:rPr>
      </w:pPr>
      <w:r>
        <w:rPr>
          <w:rFonts w:ascii="宋体" w:hAnsi="宋体" w:eastAsia="宋体"/>
          <w:sz w:val="22"/>
          <w:szCs w:val="22"/>
        </w:rPr>
        <w:t>二.政府采购政策落实</w:t>
      </w:r>
    </w:p>
    <w:p>
      <w:pPr>
        <w:spacing w:line="480" w:lineRule="exact"/>
        <w:ind w:firstLine="440" w:firstLineChars="200"/>
        <w:rPr>
          <w:rFonts w:ascii="宋体" w:hAnsi="宋体" w:eastAsia="宋体"/>
          <w:sz w:val="22"/>
          <w:szCs w:val="22"/>
        </w:rPr>
      </w:pPr>
      <w:r>
        <w:rPr>
          <w:rFonts w:ascii="宋体" w:hAnsi="宋体" w:eastAsia="宋体"/>
          <w:sz w:val="22"/>
          <w:szCs w:val="22"/>
        </w:rPr>
        <w:t>1.节能、环保要求</w:t>
      </w:r>
    </w:p>
    <w:p>
      <w:pPr>
        <w:spacing w:line="480" w:lineRule="exact"/>
        <w:ind w:firstLine="440" w:firstLineChars="200"/>
        <w:rPr>
          <w:rFonts w:ascii="宋体" w:hAnsi="宋体" w:eastAsia="宋体"/>
          <w:sz w:val="22"/>
          <w:szCs w:val="22"/>
        </w:rPr>
      </w:pPr>
      <w:r>
        <w:rPr>
          <w:rFonts w:ascii="宋体" w:hAnsi="宋体" w:eastAsia="宋体"/>
          <w:sz w:val="22"/>
          <w:szCs w:val="22"/>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spacing w:line="480" w:lineRule="exact"/>
        <w:ind w:firstLine="440" w:firstLineChars="200"/>
        <w:rPr>
          <w:rFonts w:ascii="宋体" w:hAnsi="宋体" w:eastAsia="宋体"/>
          <w:sz w:val="22"/>
          <w:szCs w:val="22"/>
        </w:rPr>
      </w:pPr>
      <w:r>
        <w:rPr>
          <w:rFonts w:ascii="宋体" w:hAnsi="宋体" w:eastAsia="宋体"/>
          <w:sz w:val="22"/>
          <w:szCs w:val="22"/>
        </w:rPr>
        <w:t>2.对小型、微型企业、监狱企业或残疾人福利性单位给予价格扣除</w:t>
      </w:r>
    </w:p>
    <w:p>
      <w:pPr>
        <w:spacing w:line="480" w:lineRule="exact"/>
        <w:ind w:firstLine="440" w:firstLineChars="200"/>
        <w:rPr>
          <w:rFonts w:ascii="宋体" w:hAnsi="宋体" w:eastAsia="宋体"/>
          <w:sz w:val="22"/>
          <w:szCs w:val="22"/>
        </w:rPr>
      </w:pPr>
      <w:r>
        <w:rPr>
          <w:rFonts w:ascii="宋体" w:hAnsi="宋体" w:eastAsia="宋体"/>
          <w:sz w:val="22"/>
          <w:szCs w:val="22"/>
        </w:rPr>
        <w:t>依照《政府采购促进中小企业发展暂行办法》、《支持监狱企业发展有关问题的通知》和《财政部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spacing w:line="480" w:lineRule="exact"/>
        <w:ind w:firstLine="440" w:firstLineChars="200"/>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公共卫生服务设备</w:t>
      </w:r>
      <w:r>
        <w:rPr>
          <w:rFonts w:ascii="宋体" w:hAnsi="宋体" w:eastAsia="宋体"/>
          <w:sz w:val="22"/>
          <w:szCs w:val="22"/>
        </w:rPr>
        <w:t>）</w:t>
      </w:r>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615"/>
        <w:gridCol w:w="1667"/>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28"/>
              <w:spacing w:before="18" w:line="348" w:lineRule="auto"/>
              <w:ind w:right="57"/>
              <w:rPr>
                <w:sz w:val="20"/>
                <w:szCs w:val="20"/>
              </w:rPr>
            </w:pPr>
            <w:r>
              <w:rPr>
                <w:rFonts w:hint="eastAsia"/>
                <w:sz w:val="20"/>
                <w:szCs w:val="20"/>
              </w:rPr>
              <w:t>序号</w:t>
            </w:r>
          </w:p>
        </w:tc>
        <w:tc>
          <w:tcPr>
            <w:tcW w:w="1701" w:type="dxa"/>
            <w:vAlign w:val="center"/>
          </w:tcPr>
          <w:p>
            <w:pPr>
              <w:pStyle w:val="128"/>
              <w:spacing w:before="18" w:line="348" w:lineRule="auto"/>
              <w:ind w:right="57"/>
              <w:rPr>
                <w:sz w:val="20"/>
                <w:szCs w:val="20"/>
              </w:rPr>
            </w:pPr>
            <w:r>
              <w:rPr>
                <w:sz w:val="20"/>
                <w:szCs w:val="20"/>
              </w:rPr>
              <w:t>情形</w:t>
            </w:r>
          </w:p>
        </w:tc>
        <w:tc>
          <w:tcPr>
            <w:tcW w:w="1701" w:type="dxa"/>
            <w:vAlign w:val="center"/>
          </w:tcPr>
          <w:p>
            <w:pPr>
              <w:pStyle w:val="128"/>
              <w:spacing w:before="18" w:line="348" w:lineRule="auto"/>
              <w:ind w:left="143" w:right="57"/>
              <w:rPr>
                <w:sz w:val="20"/>
                <w:szCs w:val="20"/>
              </w:rPr>
            </w:pPr>
            <w:r>
              <w:rPr>
                <w:sz w:val="20"/>
                <w:szCs w:val="20"/>
              </w:rPr>
              <w:t>价格扣除比例</w:t>
            </w:r>
          </w:p>
        </w:tc>
        <w:tc>
          <w:tcPr>
            <w:tcW w:w="4536" w:type="dxa"/>
            <w:vAlign w:val="center"/>
          </w:tcPr>
          <w:p>
            <w:pPr>
              <w:pStyle w:val="128"/>
              <w:spacing w:before="18" w:line="348" w:lineRule="auto"/>
              <w:ind w:left="552" w:right="57" w:firstLine="400"/>
              <w:rPr>
                <w:sz w:val="20"/>
                <w:szCs w:val="20"/>
              </w:rPr>
            </w:pPr>
            <w:r>
              <w:rPr>
                <w:sz w:val="20"/>
                <w:szCs w:val="2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28"/>
              <w:spacing w:before="18" w:line="348" w:lineRule="auto"/>
              <w:ind w:left="552" w:right="57" w:firstLine="400"/>
              <w:jc w:val="center"/>
              <w:rPr>
                <w:sz w:val="20"/>
                <w:szCs w:val="20"/>
              </w:rPr>
            </w:pPr>
            <w:r>
              <w:rPr>
                <w:rFonts w:hint="eastAsia"/>
                <w:sz w:val="20"/>
                <w:szCs w:val="20"/>
              </w:rPr>
              <w:t>1</w:t>
            </w:r>
          </w:p>
        </w:tc>
        <w:tc>
          <w:tcPr>
            <w:tcW w:w="1701" w:type="dxa"/>
            <w:vAlign w:val="center"/>
          </w:tcPr>
          <w:p>
            <w:pPr>
              <w:pStyle w:val="128"/>
              <w:spacing w:before="18" w:line="348" w:lineRule="auto"/>
              <w:ind w:left="143" w:right="57" w:firstLine="400"/>
              <w:rPr>
                <w:sz w:val="20"/>
                <w:szCs w:val="20"/>
              </w:rPr>
            </w:pPr>
            <w:r>
              <w:rPr>
                <w:sz w:val="20"/>
                <w:szCs w:val="20"/>
              </w:rPr>
              <w:t>小型、微型企业， 监狱企业，残疾人福利性单位</w:t>
            </w:r>
          </w:p>
        </w:tc>
        <w:tc>
          <w:tcPr>
            <w:tcW w:w="1701" w:type="dxa"/>
            <w:vAlign w:val="center"/>
          </w:tcPr>
          <w:p>
            <w:pPr>
              <w:pStyle w:val="128"/>
              <w:spacing w:before="18" w:line="348" w:lineRule="auto"/>
              <w:ind w:left="552" w:right="57" w:firstLine="400"/>
              <w:jc w:val="center"/>
              <w:rPr>
                <w:sz w:val="20"/>
                <w:szCs w:val="20"/>
              </w:rPr>
            </w:pPr>
            <w:r>
              <w:rPr>
                <w:sz w:val="20"/>
                <w:szCs w:val="20"/>
              </w:rPr>
              <w:t>6%</w:t>
            </w:r>
          </w:p>
        </w:tc>
        <w:tc>
          <w:tcPr>
            <w:tcW w:w="4536" w:type="dxa"/>
            <w:vAlign w:val="center"/>
          </w:tcPr>
          <w:p>
            <w:pPr>
              <w:pStyle w:val="128"/>
              <w:spacing w:before="18" w:line="348" w:lineRule="auto"/>
              <w:ind w:left="143" w:right="57" w:firstLine="400"/>
              <w:rPr>
                <w:sz w:val="20"/>
                <w:szCs w:val="20"/>
              </w:rPr>
            </w:pPr>
            <w:r>
              <w:rPr>
                <w:sz w:val="20"/>
                <w:szCs w:val="20"/>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tcPr>
          <w:p>
            <w:pPr>
              <w:pStyle w:val="128"/>
              <w:spacing w:before="18" w:line="348" w:lineRule="auto"/>
              <w:ind w:left="143" w:right="57" w:firstLine="400"/>
              <w:rPr>
                <w:rFonts w:hAnsi="宋体"/>
                <w:sz w:val="22"/>
                <w:szCs w:val="22"/>
              </w:rPr>
            </w:pPr>
            <w:r>
              <w:rPr>
                <w:sz w:val="20"/>
                <w:szCs w:val="20"/>
              </w:rPr>
              <w:t>注：（1）上述评标价仅用于计算价格评分，中标金额以实际投标价为准。（2）小型、微型企业是指投标人及其所投核心产品的制造商均为小型、微型企业（3）组成联合体的大中型企业和其他自然人、法人或者其他组织，与小型、微型企业之间不得存在投资关系</w:t>
            </w:r>
          </w:p>
        </w:tc>
      </w:tr>
    </w:tbl>
    <w:p>
      <w:pPr>
        <w:spacing w:line="480" w:lineRule="exact"/>
        <w:ind w:firstLine="440" w:firstLineChars="200"/>
        <w:rPr>
          <w:rFonts w:ascii="宋体" w:hAnsi="宋体" w:eastAsia="宋体"/>
          <w:sz w:val="22"/>
          <w:szCs w:val="22"/>
        </w:rPr>
      </w:pPr>
      <w:r>
        <w:rPr>
          <w:rFonts w:ascii="宋体" w:hAnsi="宋体" w:eastAsia="宋体"/>
          <w:sz w:val="22"/>
          <w:szCs w:val="22"/>
        </w:rPr>
        <w:t>价格扣除相关要求。</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（1）所称小型和微型企业应当同时符合以下条件：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①符合中小企业划分标准；      </w:t>
      </w:r>
    </w:p>
    <w:p>
      <w:pPr>
        <w:spacing w:line="480" w:lineRule="exact"/>
        <w:ind w:firstLine="440" w:firstLineChars="200"/>
        <w:rPr>
          <w:rFonts w:ascii="宋体" w:hAnsi="宋体" w:eastAsia="宋体"/>
          <w:sz w:val="22"/>
          <w:szCs w:val="22"/>
        </w:rPr>
      </w:pPr>
      <w:r>
        <w:rPr>
          <w:rFonts w:ascii="宋体" w:hAnsi="宋体" w:eastAsia="宋体"/>
          <w:sz w:val="22"/>
          <w:szCs w:val="22"/>
        </w:rPr>
        <w:t>②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pPr>
        <w:spacing w:line="480" w:lineRule="exact"/>
        <w:ind w:firstLine="440" w:firstLineChars="200"/>
        <w:rPr>
          <w:rFonts w:ascii="宋体" w:hAnsi="宋体" w:eastAsia="宋体"/>
          <w:sz w:val="22"/>
          <w:szCs w:val="22"/>
        </w:rPr>
      </w:pPr>
      <w:r>
        <w:rPr>
          <w:rFonts w:ascii="宋体" w:hAnsi="宋体" w:eastAsia="宋体"/>
          <w:sz w:val="22"/>
          <w:szCs w:val="22"/>
        </w:rPr>
        <w:t>（2）投标供应商属于小微企业的应填写《中小企业声明函》；监狱企业须投标供应商提供由监狱管理局、戒毒管理局（含新疆生产建设兵团）出具的属于监狱企业的证明文件；残疾人福利性单位应填写《残疾人福利性单位声明函》，否则不认定价格扣除。说明：投标供应商应当自行核实是否属于小微企业，并认真填写声明函，若有虚假将追究其责任。</w:t>
      </w:r>
      <w:r>
        <w:rPr>
          <w:rFonts w:hint="eastAsia" w:ascii="宋体" w:hAnsi="宋体" w:eastAsia="宋体"/>
          <w:sz w:val="22"/>
          <w:szCs w:val="22"/>
        </w:rPr>
        <w:t xml:space="preserve">      </w:t>
      </w:r>
    </w:p>
    <w:p>
      <w:pPr>
        <w:spacing w:line="480" w:lineRule="exact"/>
        <w:ind w:firstLine="440" w:firstLineChars="200"/>
        <w:rPr>
          <w:rFonts w:ascii="宋体" w:hAnsi="宋体" w:eastAsia="宋体"/>
          <w:sz w:val="22"/>
          <w:szCs w:val="22"/>
        </w:rPr>
      </w:pPr>
      <w:r>
        <w:rPr>
          <w:rFonts w:ascii="宋体" w:hAnsi="宋体" w:eastAsia="宋体"/>
          <w:sz w:val="22"/>
          <w:szCs w:val="22"/>
        </w:rPr>
        <w:t>三、评审程序</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1.资格性审查和符合性审查资格性审查和符合性审查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资格性审查。公开招标采购项目开标结束后，采购人或采购代理机构应当依法对投标文件中的资格证明文件等进行审查，以确定投标投标供应商是否具备投标资格。（详见后附表一资格性审查表）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 符合性审查。评标委员会依据招标文件的规定，从投标文件的有效性、完整性和对招标文件的响应程度进行审查，以确定是否对招标文件的实质性要求作出响应。（详见后附表二符合性审查表）  </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资格性审查和符合性审查中凡有其中任意一项未通过的，评审结果为未通过，未通过资格性审查、符合性审查的投标单位按无效投标处理。  </w:t>
      </w:r>
    </w:p>
    <w:p>
      <w:pPr>
        <w:spacing w:line="480" w:lineRule="exact"/>
        <w:ind w:firstLine="440" w:firstLineChars="200"/>
        <w:rPr>
          <w:rFonts w:ascii="宋体" w:hAnsi="宋体" w:eastAsia="宋体"/>
          <w:sz w:val="22"/>
          <w:szCs w:val="22"/>
        </w:rPr>
      </w:pPr>
      <w:r>
        <w:rPr>
          <w:rFonts w:ascii="宋体" w:hAnsi="宋体" w:eastAsia="宋体"/>
          <w:sz w:val="22"/>
          <w:szCs w:val="22"/>
        </w:rPr>
        <w:t>合格投标人不足3家的，不得评标。</w:t>
      </w:r>
    </w:p>
    <w:p>
      <w:pPr>
        <w:spacing w:line="480" w:lineRule="exact"/>
        <w:rPr>
          <w:rFonts w:ascii="宋体" w:hAnsi="宋体" w:eastAsia="宋体"/>
          <w:sz w:val="22"/>
          <w:szCs w:val="22"/>
        </w:rPr>
      </w:pPr>
      <w:r>
        <w:rPr>
          <w:rFonts w:ascii="宋体" w:hAnsi="宋体" w:eastAsia="宋体"/>
          <w:sz w:val="22"/>
          <w:szCs w:val="22"/>
        </w:rPr>
        <w:t>表一资格性审查表：</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公共卫生服务设备</w:t>
      </w:r>
      <w:r>
        <w:rPr>
          <w:rFonts w:ascii="宋体" w:hAnsi="宋体" w:eastAsia="宋体"/>
          <w:sz w:val="22"/>
          <w:szCs w:val="22"/>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具有独立承担民事责任的能力</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在中华人民共和国境内注册的法人或其他组织或自然人，投标时提交有效的营业执照（或事业法人登记证或身份证等相关证明）副本复印件。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有依法缴纳税收和社会保障资金的良好记录</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具有良好的商业信誉和健全的财务会计制度</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供应商必须具有良好的商业信誉和健全的财务会计制度（提供2019年度财务状况报告或基本开户行出具的资信证明）。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履行合同所必须的设备和专业技术能力</w:t>
            </w:r>
          </w:p>
        </w:tc>
        <w:tc>
          <w:tcPr>
            <w:tcW w:w="6877" w:type="dxa"/>
            <w:vAlign w:val="center"/>
          </w:tcPr>
          <w:p>
            <w:pPr>
              <w:pStyle w:val="128"/>
              <w:spacing w:before="1"/>
              <w:ind w:left="60" w:right="71" w:firstLine="400"/>
              <w:jc w:val="both"/>
              <w:rPr>
                <w:sz w:val="20"/>
                <w:szCs w:val="20"/>
              </w:rPr>
            </w:pPr>
            <w:r>
              <w:rPr>
                <w:sz w:val="20"/>
                <w:szCs w:val="20"/>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p>
          <w:p>
            <w:pPr>
              <w:pStyle w:val="128"/>
              <w:spacing w:before="18" w:line="348" w:lineRule="auto"/>
              <w:ind w:left="60" w:right="71" w:firstLine="400"/>
              <w:jc w:val="both"/>
              <w:rPr>
                <w:sz w:val="20"/>
                <w:szCs w:val="20"/>
              </w:rPr>
            </w:pPr>
            <w:r>
              <w:rPr>
                <w:sz w:val="20"/>
                <w:szCs w:val="20"/>
              </w:rPr>
              <w:t>参加采购活动前3年内，在经营活动中没有重大违法记录</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p>
          <w:p>
            <w:pPr>
              <w:pStyle w:val="128"/>
              <w:spacing w:before="18" w:line="348" w:lineRule="auto"/>
              <w:ind w:left="60" w:right="71" w:firstLine="400"/>
              <w:jc w:val="both"/>
              <w:rPr>
                <w:sz w:val="20"/>
                <w:szCs w:val="20"/>
              </w:rPr>
            </w:pPr>
          </w:p>
          <w:p>
            <w:pPr>
              <w:pStyle w:val="128"/>
              <w:spacing w:before="18" w:line="348" w:lineRule="auto"/>
              <w:ind w:left="60" w:right="71" w:firstLine="400"/>
              <w:jc w:val="both"/>
              <w:rPr>
                <w:sz w:val="20"/>
                <w:szCs w:val="20"/>
              </w:rPr>
            </w:pPr>
            <w:r>
              <w:rPr>
                <w:sz w:val="20"/>
                <w:szCs w:val="20"/>
              </w:rPr>
              <w:t>信用记录</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供应商必须符合法律、行政法规规定的其他条件</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特定资格要求</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不接受联合体投标</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jc w:val="both"/>
              <w:rPr>
                <w:sz w:val="20"/>
                <w:szCs w:val="20"/>
              </w:rPr>
            </w:pPr>
            <w:r>
              <w:rPr>
                <w:rFonts w:hAnsi="宋体"/>
                <w:kern w:val="2"/>
                <w:sz w:val="22"/>
                <w:szCs w:val="22"/>
              </w:rPr>
              <w:t>特定资格要求</w:t>
            </w:r>
          </w:p>
        </w:tc>
        <w:tc>
          <w:tcPr>
            <w:tcW w:w="6877" w:type="dxa"/>
            <w:vAlign w:val="center"/>
          </w:tcPr>
          <w:p>
            <w:pPr>
              <w:pStyle w:val="128"/>
              <w:spacing w:before="18" w:line="348" w:lineRule="auto"/>
              <w:ind w:left="60" w:right="71" w:firstLine="440"/>
              <w:jc w:val="both"/>
              <w:rPr>
                <w:rFonts w:hAnsi="宋体"/>
                <w:kern w:val="2"/>
                <w:sz w:val="22"/>
                <w:szCs w:val="22"/>
              </w:rPr>
            </w:pPr>
            <w:r>
              <w:rPr>
                <w:rFonts w:hint="eastAsia" w:hAnsi="宋体"/>
                <w:kern w:val="2"/>
                <w:sz w:val="22"/>
                <w:szCs w:val="22"/>
              </w:rPr>
              <w:t>无</w:t>
            </w:r>
            <w:r>
              <w:rPr>
                <w:rFonts w:hAnsi="宋体"/>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落实政府采购政策需满足的资格要求</w:t>
            </w:r>
          </w:p>
        </w:tc>
        <w:tc>
          <w:tcPr>
            <w:tcW w:w="6877" w:type="dxa"/>
            <w:vAlign w:val="center"/>
          </w:tcPr>
          <w:p>
            <w:pPr>
              <w:pStyle w:val="128"/>
              <w:spacing w:before="1"/>
              <w:ind w:right="71" w:firstLine="440"/>
              <w:jc w:val="both"/>
              <w:rPr>
                <w:sz w:val="20"/>
                <w:szCs w:val="20"/>
              </w:rPr>
            </w:pPr>
            <w:r>
              <w:rPr>
                <w:rFonts w:hAnsi="宋体"/>
                <w:sz w:val="22"/>
                <w:szCs w:val="22"/>
              </w:rPr>
              <w:t>本项目属于专门面向中小企业采购的项目</w:t>
            </w:r>
          </w:p>
        </w:tc>
      </w:tr>
    </w:tbl>
    <w:p>
      <w:pPr>
        <w:spacing w:line="480" w:lineRule="exact"/>
        <w:rPr>
          <w:rFonts w:ascii="宋体" w:hAnsi="宋体" w:eastAsia="宋体"/>
          <w:sz w:val="22"/>
          <w:szCs w:val="22"/>
        </w:rPr>
      </w:pPr>
      <w:r>
        <w:rPr>
          <w:rFonts w:ascii="宋体" w:hAnsi="宋体" w:eastAsia="宋体"/>
          <w:sz w:val="22"/>
          <w:szCs w:val="22"/>
        </w:rPr>
        <w:t>表二符合性审查表：</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公共卫生服务设备</w:t>
      </w:r>
      <w:r>
        <w:rPr>
          <w:rFonts w:ascii="宋体" w:hAnsi="宋体" w:eastAsia="宋体"/>
          <w:sz w:val="22"/>
          <w:szCs w:val="22"/>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投标函、资格文件声明函、承诺函</w:t>
            </w:r>
          </w:p>
        </w:tc>
        <w:tc>
          <w:tcPr>
            <w:tcW w:w="5670"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投标函、资格文件声明函、承诺函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法定代表人（负责人）证明书、法定代表人（负责人）授权委托书</w:t>
            </w:r>
          </w:p>
        </w:tc>
        <w:tc>
          <w:tcPr>
            <w:tcW w:w="5670"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投标有效期：</w:t>
            </w:r>
            <w:r>
              <w:rPr>
                <w:rFonts w:ascii="Arial" w:hAnsi="Arial" w:eastAsia="宋体" w:cs="Arial"/>
                <w:kern w:val="0"/>
                <w:sz w:val="21"/>
                <w:szCs w:val="21"/>
              </w:rPr>
              <w:t>90</w:t>
            </w:r>
            <w:r>
              <w:rPr>
                <w:rFonts w:ascii="Courier New" w:hAnsi="Courier New" w:eastAsia="宋体" w:cs="Courier New"/>
                <w:kern w:val="0"/>
                <w:sz w:val="21"/>
                <w:szCs w:val="21"/>
              </w:rPr>
              <w:t>天</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投标有效期：</w:t>
            </w:r>
            <w:r>
              <w:rPr>
                <w:rFonts w:ascii="Arial" w:hAnsi="Arial" w:eastAsia="宋体" w:cs="Arial"/>
                <w:kern w:val="0"/>
                <w:sz w:val="21"/>
                <w:szCs w:val="21"/>
              </w:rPr>
              <w:t>90</w:t>
            </w:r>
            <w:r>
              <w:rPr>
                <w:rFonts w:ascii="Courier New" w:hAnsi="Courier New" w:eastAsia="宋体" w:cs="Courier New"/>
                <w:kern w:val="0"/>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投标文件按照招标文件规定要求签署、盖章</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投标报价是固定价且未超过本项目采购预算</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投标报价是固定价且未超过本项目采购预算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投标文件要求采购本国产品时未以进口产品投标</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投标文件要求采购本国产品时未以进口产品投标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能满足用户需求的主要参数（带</w:t>
            </w:r>
            <w:r>
              <w:rPr>
                <w:rFonts w:ascii="Arial" w:hAnsi="Arial" w:eastAsia="宋体" w:cs="Arial"/>
                <w:kern w:val="0"/>
                <w:sz w:val="21"/>
                <w:szCs w:val="21"/>
              </w:rPr>
              <w:t>“</w:t>
            </w:r>
            <w:r>
              <w:rPr>
                <w:rFonts w:ascii="宋体" w:hAnsi="宋体" w:eastAsia="宋体" w:cs="宋体"/>
                <w:kern w:val="0"/>
                <w:sz w:val="21"/>
                <w:szCs w:val="21"/>
              </w:rPr>
              <w:t>★</w:t>
            </w:r>
            <w:r>
              <w:rPr>
                <w:rFonts w:ascii="Arial" w:hAnsi="Arial" w:eastAsia="宋体" w:cs="Arial"/>
                <w:kern w:val="0"/>
                <w:sz w:val="21"/>
                <w:szCs w:val="21"/>
              </w:rPr>
              <w:t>”</w:t>
            </w:r>
            <w:r>
              <w:rPr>
                <w:rFonts w:ascii="Courier New" w:hAnsi="Courier New" w:eastAsia="宋体" w:cs="Courier New"/>
                <w:kern w:val="0"/>
                <w:sz w:val="21"/>
                <w:szCs w:val="21"/>
              </w:rPr>
              <w:t>号条款）</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能满足用户需求的主要参数（带</w:t>
            </w:r>
            <w:r>
              <w:rPr>
                <w:rFonts w:ascii="Arial" w:hAnsi="Arial" w:eastAsia="宋体" w:cs="Arial"/>
                <w:kern w:val="0"/>
                <w:sz w:val="21"/>
                <w:szCs w:val="21"/>
              </w:rPr>
              <w:t>“</w:t>
            </w:r>
            <w:r>
              <w:rPr>
                <w:rFonts w:ascii="宋体" w:hAnsi="宋体" w:eastAsia="宋体" w:cs="宋体"/>
                <w:kern w:val="0"/>
                <w:sz w:val="21"/>
                <w:szCs w:val="21"/>
              </w:rPr>
              <w:t>★</w:t>
            </w:r>
            <w:r>
              <w:rPr>
                <w:rFonts w:ascii="Arial" w:hAnsi="Arial" w:eastAsia="宋体" w:cs="Arial"/>
                <w:kern w:val="0"/>
                <w:sz w:val="21"/>
                <w:szCs w:val="21"/>
              </w:rPr>
              <w:t>”</w:t>
            </w:r>
            <w:r>
              <w:rPr>
                <w:rFonts w:ascii="Courier New" w:hAnsi="Courier New" w:eastAsia="宋体" w:cs="Courier New"/>
                <w:kern w:val="0"/>
                <w:sz w:val="21"/>
                <w:szCs w:val="21"/>
              </w:rPr>
              <w:t>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投标文件没有采购人不能接受的附加条件</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投标文件没有采购人不能接受的附加条件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未出现法律、法规和招标文件规定的其他无效情形</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未出现法律、法规和招标文件规定的其他无效情形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投标保证金</w:t>
            </w:r>
          </w:p>
        </w:tc>
        <w:tc>
          <w:tcPr>
            <w:tcW w:w="5670"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投标人按招标文件要求缴纳投标保证金或投标保证缴纳金额满足招标文件要求的</w:t>
            </w:r>
          </w:p>
        </w:tc>
      </w:tr>
    </w:tbl>
    <w:p>
      <w:pPr>
        <w:pStyle w:val="128"/>
        <w:spacing w:before="1"/>
        <w:ind w:right="71"/>
        <w:jc w:val="both"/>
        <w:rPr>
          <w:rFonts w:ascii="Arial" w:hAnsi="Arial" w:cs="Arial"/>
          <w:sz w:val="21"/>
          <w:szCs w:val="21"/>
        </w:rPr>
      </w:pPr>
    </w:p>
    <w:p>
      <w:pPr>
        <w:spacing w:line="480" w:lineRule="exact"/>
        <w:ind w:firstLine="440" w:firstLineChars="200"/>
        <w:rPr>
          <w:rFonts w:ascii="宋体" w:hAnsi="宋体" w:eastAsia="宋体"/>
          <w:sz w:val="22"/>
          <w:szCs w:val="22"/>
        </w:rPr>
      </w:pPr>
      <w:r>
        <w:rPr>
          <w:rFonts w:ascii="宋体" w:hAnsi="宋体" w:eastAsia="宋体"/>
          <w:sz w:val="22"/>
          <w:szCs w:val="22"/>
        </w:rPr>
        <w:t>2.投标文件澄清投标文件澄清</w:t>
      </w:r>
    </w:p>
    <w:p>
      <w:pPr>
        <w:spacing w:line="480" w:lineRule="exact"/>
        <w:ind w:firstLine="440" w:firstLineChars="200"/>
        <w:rPr>
          <w:rFonts w:ascii="宋体" w:hAnsi="宋体" w:eastAsia="宋体"/>
          <w:sz w:val="22"/>
          <w:szCs w:val="22"/>
        </w:rPr>
      </w:pPr>
      <w:r>
        <w:rPr>
          <w:rFonts w:ascii="宋体" w:hAnsi="宋体" w:eastAsia="宋体"/>
          <w:sz w:val="22"/>
          <w:szCs w:val="22"/>
        </w:rPr>
        <w:t>2.1对于投标文件中含义不明确、同类问题表述不一致或者有明显文字和计算错误的内容，评标委员会应当以书面形式要求投标人作出必要的澄清、说明或者补正。</w:t>
      </w:r>
    </w:p>
    <w:p>
      <w:pPr>
        <w:spacing w:line="480" w:lineRule="exact"/>
        <w:ind w:firstLine="440" w:firstLineChars="200"/>
        <w:rPr>
          <w:rFonts w:ascii="宋体" w:hAnsi="宋体" w:eastAsia="宋体"/>
          <w:sz w:val="22"/>
          <w:szCs w:val="22"/>
        </w:rPr>
      </w:pPr>
      <w:r>
        <w:rPr>
          <w:rFonts w:ascii="宋体" w:hAnsi="宋体" w:eastAsia="宋体"/>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pPr>
        <w:spacing w:line="480" w:lineRule="exact"/>
        <w:ind w:firstLine="440" w:firstLineChars="200"/>
        <w:rPr>
          <w:rFonts w:ascii="宋体" w:hAnsi="宋体" w:eastAsia="宋体"/>
          <w:sz w:val="22"/>
          <w:szCs w:val="22"/>
        </w:rPr>
      </w:pPr>
      <w:r>
        <w:rPr>
          <w:rFonts w:ascii="宋体" w:hAnsi="宋体" w:eastAsia="宋体"/>
          <w:sz w:val="22"/>
          <w:szCs w:val="22"/>
        </w:rPr>
        <w:t>2.2评标委员会不接受投标人主动提出的澄清、说明或补正。</w:t>
      </w:r>
    </w:p>
    <w:p>
      <w:pPr>
        <w:spacing w:line="480" w:lineRule="exact"/>
        <w:ind w:firstLine="440" w:firstLineChars="200"/>
        <w:rPr>
          <w:rFonts w:ascii="宋体" w:hAnsi="宋体" w:eastAsia="宋体"/>
          <w:sz w:val="22"/>
          <w:szCs w:val="22"/>
        </w:rPr>
      </w:pPr>
      <w:r>
        <w:rPr>
          <w:rFonts w:ascii="宋体" w:hAnsi="宋体" w:eastAsia="宋体"/>
          <w:sz w:val="22"/>
          <w:szCs w:val="22"/>
        </w:rPr>
        <w:t>2.3评标委员会对投标人提交的澄清、说明或补正有疑问的，可以要求投标人进一步澄清、说明或补正。</w:t>
      </w:r>
    </w:p>
    <w:p>
      <w:pPr>
        <w:spacing w:line="480" w:lineRule="exact"/>
        <w:ind w:firstLine="440" w:firstLineChars="200"/>
        <w:rPr>
          <w:rFonts w:ascii="宋体" w:hAnsi="宋体" w:eastAsia="宋体"/>
          <w:sz w:val="22"/>
          <w:szCs w:val="22"/>
        </w:rPr>
      </w:pPr>
      <w:r>
        <w:rPr>
          <w:rFonts w:ascii="宋体" w:hAnsi="宋体" w:eastAsia="宋体"/>
          <w:sz w:val="22"/>
          <w:szCs w:val="22"/>
        </w:rPr>
        <w:t>3.详细评审</w:t>
      </w:r>
    </w:p>
    <w:p>
      <w:pPr>
        <w:spacing w:line="480" w:lineRule="exact"/>
        <w:ind w:firstLine="440" w:firstLineChars="200"/>
        <w:rPr>
          <w:rFonts w:ascii="宋体" w:hAnsi="宋体" w:eastAsia="宋体"/>
          <w:sz w:val="22"/>
          <w:szCs w:val="22"/>
        </w:rPr>
      </w:pPr>
      <w:r>
        <w:rPr>
          <w:rFonts w:ascii="宋体" w:hAnsi="宋体" w:eastAsia="宋体"/>
          <w:sz w:val="22"/>
          <w:szCs w:val="22"/>
        </w:rPr>
        <w:t>综合评分法：分为投标报价评审、商务部分评审、技术部分评审。（详见后附表三详细评审表）</w:t>
      </w:r>
    </w:p>
    <w:p>
      <w:pPr>
        <w:spacing w:line="480" w:lineRule="exact"/>
        <w:ind w:firstLine="440" w:firstLineChars="200"/>
        <w:rPr>
          <w:rFonts w:ascii="宋体" w:hAnsi="宋体" w:eastAsia="宋体"/>
          <w:sz w:val="22"/>
          <w:szCs w:val="22"/>
        </w:rPr>
      </w:pPr>
      <w:r>
        <w:rPr>
          <w:rFonts w:ascii="宋体" w:hAnsi="宋体" w:eastAsia="宋体"/>
          <w:sz w:val="22"/>
          <w:szCs w:val="22"/>
        </w:rPr>
        <w:t>最低评标价法：无</w:t>
      </w:r>
    </w:p>
    <w:p>
      <w:pPr>
        <w:spacing w:line="480" w:lineRule="exact"/>
        <w:ind w:firstLine="440" w:firstLineChars="200"/>
        <w:rPr>
          <w:rFonts w:ascii="宋体" w:hAnsi="宋体" w:eastAsia="宋体"/>
          <w:sz w:val="22"/>
          <w:szCs w:val="22"/>
        </w:rPr>
      </w:pPr>
      <w:r>
        <w:rPr>
          <w:rFonts w:ascii="宋体" w:hAnsi="宋体" w:eastAsia="宋体"/>
          <w:sz w:val="22"/>
          <w:szCs w:val="22"/>
        </w:rPr>
        <w:t>表三详细评审表：</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公共卫生服务设备</w:t>
      </w:r>
      <w:r>
        <w:rPr>
          <w:rFonts w:ascii="宋体" w:hAnsi="宋体" w:eastAsia="宋体"/>
          <w:sz w:val="22"/>
          <w:szCs w:val="22"/>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984"/>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Align w:val="center"/>
          </w:tcPr>
          <w:p>
            <w:pPr>
              <w:pStyle w:val="16"/>
              <w:jc w:val="center"/>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评审因素</w:t>
            </w:r>
          </w:p>
        </w:tc>
        <w:tc>
          <w:tcPr>
            <w:tcW w:w="7727" w:type="dxa"/>
            <w:gridSpan w:val="2"/>
            <w:vAlign w:val="center"/>
          </w:tcPr>
          <w:p>
            <w:pPr>
              <w:pStyle w:val="16"/>
              <w:jc w:val="center"/>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分值构成</w:t>
            </w:r>
          </w:p>
        </w:tc>
        <w:tc>
          <w:tcPr>
            <w:tcW w:w="7727" w:type="dxa"/>
            <w:gridSpan w:val="2"/>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1、</w:t>
            </w:r>
            <w:r>
              <w:rPr>
                <w:rFonts w:hint="eastAsia" w:cs="Courier New" w:asciiTheme="minorEastAsia" w:hAnsiTheme="minorEastAsia" w:eastAsiaTheme="minorEastAsia"/>
                <w:sz w:val="20"/>
                <w:shd w:val="clear" w:color="auto" w:fill="FFFFFF"/>
              </w:rPr>
              <w:t>商务</w:t>
            </w:r>
            <w:r>
              <w:rPr>
                <w:rFonts w:cs="Courier New" w:asciiTheme="minorEastAsia" w:hAnsiTheme="minorEastAsia" w:eastAsiaTheme="minorEastAsia"/>
                <w:sz w:val="20"/>
                <w:shd w:val="clear" w:color="auto" w:fill="FFFFFF"/>
              </w:rPr>
              <w:t>部分</w:t>
            </w:r>
            <w:r>
              <w:rPr>
                <w:rFonts w:hint="eastAsia" w:cs="Courier New" w:asciiTheme="minorEastAsia" w:hAnsiTheme="minorEastAsia" w:eastAsiaTheme="minorEastAsia"/>
                <w:sz w:val="20"/>
                <w:shd w:val="clear" w:color="auto" w:fill="FFFFFF"/>
              </w:rPr>
              <w:t>15</w:t>
            </w:r>
            <w:r>
              <w:rPr>
                <w:rFonts w:cs="Courier New" w:asciiTheme="minorEastAsia" w:hAnsiTheme="minorEastAsia" w:eastAsiaTheme="minorEastAsia"/>
                <w:sz w:val="20"/>
                <w:shd w:val="clear" w:color="auto" w:fill="FFFFFF"/>
              </w:rPr>
              <w:t>.0分</w:t>
            </w:r>
          </w:p>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2、技术部分</w:t>
            </w:r>
            <w:r>
              <w:rPr>
                <w:rFonts w:hint="eastAsia" w:cs="Courier New" w:asciiTheme="minorEastAsia" w:hAnsiTheme="minorEastAsia" w:eastAsiaTheme="minorEastAsia"/>
                <w:sz w:val="20"/>
                <w:shd w:val="clear" w:color="auto" w:fill="FFFFFF"/>
              </w:rPr>
              <w:t>55</w:t>
            </w:r>
            <w:r>
              <w:rPr>
                <w:rFonts w:cs="Courier New" w:asciiTheme="minorEastAsia" w:hAnsiTheme="minorEastAsia" w:eastAsiaTheme="minorEastAsia"/>
                <w:sz w:val="20"/>
                <w:shd w:val="clear" w:color="auto" w:fill="FFFFFF"/>
              </w:rPr>
              <w:t>.0分</w:t>
            </w:r>
          </w:p>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3、报价得分</w:t>
            </w:r>
            <w:r>
              <w:rPr>
                <w:rFonts w:hint="eastAsia" w:cs="Courier New" w:asciiTheme="minorEastAsia" w:hAnsiTheme="minorEastAsia" w:eastAsiaTheme="minorEastAsia"/>
                <w:sz w:val="20"/>
                <w:shd w:val="clear" w:color="auto" w:fill="FFFFFF"/>
              </w:rPr>
              <w:t>30</w:t>
            </w:r>
            <w:r>
              <w:rPr>
                <w:rFonts w:cs="Courier New" w:asciiTheme="minorEastAsia" w:hAnsiTheme="minorEastAsia" w:eastAsiaTheme="minorEastAsia"/>
                <w:sz w:val="20"/>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pacing w:line="480" w:lineRule="exact"/>
              <w:rPr>
                <w:rFonts w:ascii="宋体" w:hAnsi="宋体" w:eastAsia="宋体"/>
                <w:sz w:val="22"/>
                <w:szCs w:val="22"/>
              </w:rPr>
            </w:pPr>
            <w:r>
              <w:rPr>
                <w:rFonts w:hint="eastAsia" w:ascii="宋体" w:hAnsi="宋体" w:eastAsia="宋体"/>
                <w:sz w:val="22"/>
                <w:szCs w:val="22"/>
              </w:rPr>
              <w:t>商务部分（15分）</w:t>
            </w:r>
          </w:p>
        </w:tc>
        <w:tc>
          <w:tcPr>
            <w:tcW w:w="1984"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服务便利性（3分）</w:t>
            </w:r>
          </w:p>
        </w:tc>
        <w:tc>
          <w:tcPr>
            <w:tcW w:w="5743"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根据供应商承诺在接到采购人通知后到达采购人指定地点的时间响应情况进行评审：</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优：承诺接到采购人通知后，1小时内到达采购人指定地点，得3分；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中：承诺接到采购人通知后，2小时内到达采购人指定地点，得2分；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差：承诺接到采购人通知后，3小时内到达采购人指定地点，得1分；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无响应时间得0分。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注：本项目不接受外包形式的服务，须提供服务承诺书并加盖供应商公章。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984" w:type="dxa"/>
            <w:vAlign w:val="center"/>
          </w:tcPr>
          <w:p>
            <w:pPr>
              <w:pStyle w:val="85"/>
              <w:spacing w:line="360" w:lineRule="auto"/>
              <w:ind w:firstLine="0" w:firstLineChars="0"/>
              <w:rPr>
                <w:rFonts w:ascii="宋体" w:eastAsia="宋体" w:cs="宋体"/>
                <w:bCs/>
                <w:sz w:val="21"/>
                <w:szCs w:val="21"/>
                <w:lang w:val="zh-CN"/>
              </w:rPr>
            </w:pPr>
            <w:r>
              <w:rPr>
                <w:rFonts w:ascii="宋体" w:eastAsia="宋体" w:cs="宋体"/>
                <w:bCs/>
                <w:sz w:val="21"/>
                <w:szCs w:val="21"/>
                <w:lang w:val="zh-CN"/>
              </w:rPr>
              <w:t>业绩</w:t>
            </w:r>
            <w:r>
              <w:rPr>
                <w:rFonts w:hint="eastAsia" w:ascii="宋体" w:eastAsia="宋体" w:cs="宋体"/>
                <w:bCs/>
                <w:sz w:val="21"/>
                <w:szCs w:val="21"/>
                <w:lang w:val="zh-CN"/>
              </w:rPr>
              <w:t>（12分）</w:t>
            </w:r>
          </w:p>
        </w:tc>
        <w:tc>
          <w:tcPr>
            <w:tcW w:w="5743"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供应商自2017年1月1日至今（以签订合同时间为准）承接过的医疗设备类项目业绩，每提供一个合同业绩得2分，无不得分，本项最高得12分。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注：须提供中标（成交）通知书、合同复印件加盖供应商公章。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pacing w:line="480" w:lineRule="exact"/>
              <w:rPr>
                <w:rFonts w:ascii="宋体" w:hAnsi="宋体" w:eastAsia="宋体"/>
                <w:sz w:val="22"/>
                <w:szCs w:val="22"/>
              </w:rPr>
            </w:pPr>
            <w:r>
              <w:rPr>
                <w:rFonts w:ascii="宋体" w:hAnsi="宋体" w:eastAsia="宋体"/>
                <w:sz w:val="22"/>
                <w:szCs w:val="22"/>
              </w:rPr>
              <w:t>技术部分</w:t>
            </w:r>
            <w:r>
              <w:rPr>
                <w:rFonts w:hint="eastAsia" w:ascii="宋体" w:hAnsi="宋体" w:eastAsia="宋体"/>
                <w:sz w:val="22"/>
                <w:szCs w:val="22"/>
              </w:rPr>
              <w:t>（55分）</w:t>
            </w:r>
          </w:p>
        </w:tc>
        <w:tc>
          <w:tcPr>
            <w:tcW w:w="1984" w:type="dxa"/>
            <w:vAlign w:val="center"/>
          </w:tcPr>
          <w:p>
            <w:pPr>
              <w:spacing w:line="480" w:lineRule="exact"/>
              <w:rPr>
                <w:rFonts w:ascii="宋体" w:hAnsi="宋体" w:eastAsia="宋体"/>
                <w:sz w:val="22"/>
                <w:szCs w:val="22"/>
              </w:rPr>
            </w:pPr>
            <w:r>
              <w:rPr>
                <w:rFonts w:hint="eastAsia" w:ascii="宋体" w:hAnsi="宋体" w:eastAsia="宋体"/>
                <w:sz w:val="22"/>
                <w:szCs w:val="22"/>
              </w:rPr>
              <w:t>技术响应情况（28分）</w:t>
            </w:r>
          </w:p>
        </w:tc>
        <w:tc>
          <w:tcPr>
            <w:tcW w:w="5743"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根据供应商对用户需求中的带“▲”技术指标条款全部响应为满足或优于的得28分。其中，用户需求中的带“▲”参数指标不满足或者不响应的每一项扣2分；扣完为止，本项最低得0分。</w:t>
            </w:r>
          </w:p>
          <w:p>
            <w:pPr>
              <w:pStyle w:val="85"/>
              <w:spacing w:line="360" w:lineRule="auto"/>
              <w:ind w:firstLine="0" w:firstLineChars="0"/>
              <w:rPr>
                <w:rFonts w:ascii="宋体" w:eastAsia="宋体"/>
                <w:sz w:val="22"/>
                <w:szCs w:val="22"/>
              </w:rPr>
            </w:pPr>
            <w:r>
              <w:rPr>
                <w:rFonts w:hint="eastAsia" w:ascii="宋体" w:eastAsia="宋体" w:cs="宋体"/>
                <w:bCs/>
                <w:sz w:val="21"/>
                <w:szCs w:val="21"/>
                <w:lang w:val="zh-CN"/>
              </w:rPr>
              <w:t>注：须提供所投产品彩页原件或原厂商的技术白皮书或原厂商所作的技术参数说明等详细技术资料为准，如提供虚假证明材料，一经查实上报至相关主管部门，按照相关法律进行处罚。供应商须按照招标文件附件中的格式提供“▲”条款内容索引表，放于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984"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使用操作及维护保养（8分）</w:t>
            </w:r>
          </w:p>
        </w:tc>
        <w:tc>
          <w:tcPr>
            <w:tcW w:w="5743"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根据各供应商所投设备的操作、使用、保养、维修便利等进行综合评价:</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1)设备的操作容易、使用方便、保养简单、维修便利，得8分；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2)设备的操作容易、使用较为方便、保养较为简单、维修比较便利，得5分；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3)设备的操作比较复杂、使用较为方便、保养较为复杂、维修基本便利，得2分；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4)设备的操作比较复杂、使用比较麻烦、保养复杂、维修不太便利，得0分。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984"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所投设备的性能（8分）</w:t>
            </w:r>
          </w:p>
        </w:tc>
        <w:tc>
          <w:tcPr>
            <w:tcW w:w="5743" w:type="dxa"/>
            <w:vAlign w:val="center"/>
          </w:tcPr>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根据各供应商所投设备的稳定性、先进性、可靠性和实用性进行综合评分：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1)所投设备的稳定性、先进性、可靠性和实用性均为最优的，得8分；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2)所投设备的稳定性、先进性、可靠性和实用性均良好的，得5分；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3)所投设备的稳定性、先进性、可靠性和实用性一般的，得2分；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4)所投设备的稳定性、先进性、可靠性和实用性较差的，得0分。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984"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质量保证（8分）</w:t>
            </w:r>
          </w:p>
        </w:tc>
        <w:tc>
          <w:tcPr>
            <w:tcW w:w="5743" w:type="dxa"/>
            <w:vAlign w:val="center"/>
          </w:tcPr>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根据各供应商的质量保证承诺及质保期内的服务方案详细完善程度进行评分：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1) 供应商的质量保证承诺优于招标要求，质保期内的服务方案合理、具体、完善的，得8分；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2) 供应商的质量保证承诺满足招标要求，质保期内的服务方案较合理、较具体、较完善的，得5分；</w:t>
            </w:r>
          </w:p>
          <w:p>
            <w:pPr>
              <w:spacing w:line="360" w:lineRule="auto"/>
              <w:ind w:left="1"/>
              <w:rPr>
                <w:rFonts w:ascii="宋体" w:hAnsi="宋体" w:eastAsia="宋体" w:cs="宋体"/>
                <w:bCs/>
                <w:sz w:val="21"/>
                <w:szCs w:val="21"/>
                <w:lang w:val="zh-CN"/>
              </w:rPr>
            </w:pPr>
            <w:r>
              <w:rPr>
                <w:rFonts w:hint="eastAsia" w:ascii="宋体" w:hAnsi="宋体" w:eastAsia="宋体" w:cs="宋体"/>
                <w:bCs/>
                <w:sz w:val="21"/>
                <w:szCs w:val="21"/>
                <w:lang w:val="zh-CN"/>
              </w:rPr>
              <w:t>3) 供应商的质量保证承诺满足招标要求，质保期内的服务方案合理性一般、具体性一般、完善性一般的，得2分；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4) 供应商的质量保证承诺缺失或未达到招标要求，质保期内的服务方案缺失或不完善的，得0分。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984"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售后服务（3分）</w:t>
            </w:r>
          </w:p>
        </w:tc>
        <w:tc>
          <w:tcPr>
            <w:tcW w:w="5743" w:type="dxa"/>
            <w:vAlign w:val="center"/>
          </w:tcPr>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质保期年限在用户需求的基础上每增加半年得1分，不增加不得分，本项最高得3分。</w:t>
            </w:r>
          </w:p>
          <w:p>
            <w:pPr>
              <w:pStyle w:val="85"/>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注：须提供承诺函加盖供应商公章。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投标报价</w:t>
            </w:r>
          </w:p>
        </w:tc>
        <w:tc>
          <w:tcPr>
            <w:tcW w:w="1984"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投标报价得分 (</w:t>
            </w:r>
            <w:r>
              <w:rPr>
                <w:rFonts w:hint="eastAsia" w:cs="Courier New" w:asciiTheme="minorEastAsia" w:hAnsiTheme="minorEastAsia" w:eastAsiaTheme="minorEastAsia"/>
                <w:sz w:val="20"/>
                <w:shd w:val="clear" w:color="auto" w:fill="FFFFFF"/>
              </w:rPr>
              <w:t>30</w:t>
            </w:r>
            <w:r>
              <w:rPr>
                <w:rFonts w:cs="Courier New" w:asciiTheme="minorEastAsia" w:hAnsiTheme="minorEastAsia" w:eastAsiaTheme="minorEastAsia"/>
                <w:sz w:val="20"/>
                <w:shd w:val="clear" w:color="auto" w:fill="FFFFFF"/>
              </w:rPr>
              <w:t>.0分)</w:t>
            </w:r>
          </w:p>
        </w:tc>
        <w:tc>
          <w:tcPr>
            <w:tcW w:w="5743"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投标报价得分=（评标基准价/投标报价）× 价格权值 × 100%</w:t>
            </w:r>
          </w:p>
        </w:tc>
      </w:tr>
    </w:tbl>
    <w:p>
      <w:pPr>
        <w:spacing w:line="480" w:lineRule="exact"/>
        <w:ind w:firstLine="440" w:firstLineChars="200"/>
        <w:rPr>
          <w:rFonts w:ascii="宋体" w:hAnsi="宋体" w:eastAsia="宋体"/>
          <w:sz w:val="22"/>
          <w:szCs w:val="22"/>
        </w:rPr>
      </w:pPr>
      <w:r>
        <w:rPr>
          <w:rFonts w:ascii="宋体" w:hAnsi="宋体" w:eastAsia="宋体"/>
          <w:sz w:val="22"/>
          <w:szCs w:val="22"/>
        </w:rPr>
        <w:t>4.汇总、排序</w:t>
      </w:r>
    </w:p>
    <w:p>
      <w:pPr>
        <w:spacing w:line="480" w:lineRule="exact"/>
        <w:ind w:firstLine="440" w:firstLineChars="200"/>
        <w:rPr>
          <w:rFonts w:ascii="宋体" w:hAnsi="宋体" w:eastAsia="宋体"/>
          <w:sz w:val="22"/>
          <w:szCs w:val="22"/>
        </w:rPr>
      </w:pPr>
      <w:r>
        <w:rPr>
          <w:rFonts w:ascii="宋体" w:hAnsi="宋体" w:eastAsia="宋体"/>
          <w:sz w:val="22"/>
          <w:szCs w:val="22"/>
        </w:rPr>
        <w:t>综合评分法：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spacing w:line="480" w:lineRule="exact"/>
        <w:ind w:firstLine="440" w:firstLineChars="200"/>
        <w:rPr>
          <w:rFonts w:ascii="宋体" w:hAnsi="宋体" w:eastAsia="宋体"/>
          <w:sz w:val="22"/>
          <w:szCs w:val="22"/>
        </w:rPr>
      </w:pPr>
      <w:r>
        <w:rPr>
          <w:rFonts w:ascii="宋体" w:hAnsi="宋体" w:eastAsia="宋体"/>
          <w:sz w:val="22"/>
          <w:szCs w:val="22"/>
        </w:rPr>
        <w:t>最低评标价法：投标文件满足招标文件全部实质性要求，且进行政府采购政策落实的价格扣除后，对投标报价进行由低到高排序，确定价格最低的投标供应商为中标候选人。价格相同的，依次按最终上传投标文件时间、技术指标、售后服务条款、业绩的优劣顺序排列确定。上述相同的，按照提供优先采购产品证明材料的数量进行排序；以上均相同的属于保护环境、不发达地区和少数民族地区企业的优先。</w:t>
      </w:r>
    </w:p>
    <w:p>
      <w:pPr>
        <w:spacing w:line="480" w:lineRule="exact"/>
        <w:ind w:firstLine="440" w:firstLineChars="200"/>
        <w:rPr>
          <w:rFonts w:ascii="宋体" w:hAnsi="宋体" w:eastAsia="宋体"/>
          <w:sz w:val="22"/>
          <w:szCs w:val="22"/>
        </w:rPr>
      </w:pPr>
      <w:r>
        <w:rPr>
          <w:rFonts w:ascii="宋体" w:hAnsi="宋体" w:eastAsia="宋体"/>
          <w:sz w:val="22"/>
          <w:szCs w:val="22"/>
        </w:rPr>
        <w:t>5.中标价的确定</w:t>
      </w:r>
    </w:p>
    <w:p>
      <w:pPr>
        <w:spacing w:line="480" w:lineRule="exact"/>
        <w:ind w:firstLine="440" w:firstLineChars="200"/>
        <w:rPr>
          <w:rFonts w:ascii="宋体" w:hAnsi="宋体" w:eastAsia="宋体"/>
          <w:sz w:val="22"/>
          <w:szCs w:val="22"/>
        </w:rPr>
      </w:pPr>
      <w:r>
        <w:rPr>
          <w:rFonts w:ascii="宋体" w:hAnsi="宋体" w:eastAsia="宋体"/>
          <w:sz w:val="22"/>
          <w:szCs w:val="22"/>
        </w:rPr>
        <w:t>除了按第四章第一点第9条修正并经投标人确认的投标报价作为中标价外，中标价以开标时公开唱读额为准。</w:t>
      </w:r>
    </w:p>
    <w:p>
      <w:pPr>
        <w:pStyle w:val="3"/>
        <w:keepNext w:val="0"/>
        <w:keepLines w:val="0"/>
        <w:adjustRightInd/>
        <w:spacing w:before="0" w:after="0" w:line="480" w:lineRule="exact"/>
        <w:ind w:firstLine="422" w:firstLineChars="200"/>
        <w:jc w:val="center"/>
        <w:rPr>
          <w:rFonts w:cs="宋体"/>
          <w:bCs/>
          <w:sz w:val="21"/>
          <w:szCs w:val="21"/>
        </w:rPr>
      </w:pPr>
    </w:p>
    <w:p/>
    <w:p/>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pStyle w:val="2"/>
        <w:keepNext w:val="0"/>
        <w:keepLines w:val="0"/>
        <w:spacing w:before="0" w:after="0" w:line="480" w:lineRule="exact"/>
        <w:jc w:val="center"/>
        <w:rPr>
          <w:rFonts w:hAnsi="宋体"/>
          <w:sz w:val="36"/>
          <w:szCs w:val="28"/>
        </w:rPr>
      </w:pPr>
      <w:bookmarkStart w:id="57" w:name="_Toc68106347"/>
      <w:bookmarkStart w:id="58" w:name="_Toc56353015"/>
      <w:bookmarkStart w:id="59" w:name="_Toc458262637"/>
      <w:bookmarkStart w:id="60" w:name="_Toc476976199"/>
      <w:bookmarkStart w:id="61" w:name="_Toc467236767"/>
      <w:bookmarkStart w:id="62" w:name="_Toc486671571"/>
      <w:bookmarkStart w:id="63" w:name="_Toc52021542"/>
      <w:bookmarkStart w:id="64" w:name="_Toc454701404"/>
      <w:bookmarkStart w:id="65" w:name="_Toc51756507"/>
      <w:bookmarkStart w:id="66" w:name="_Toc51939472"/>
      <w:bookmarkStart w:id="67" w:name="_Toc52027930"/>
      <w:r>
        <w:rPr>
          <w:rFonts w:hint="eastAsia" w:hAnsi="宋体"/>
          <w:sz w:val="36"/>
          <w:szCs w:val="28"/>
        </w:rPr>
        <w:t>第五</w:t>
      </w:r>
      <w:bookmarkStart w:id="68" w:name="_Toc52027928"/>
      <w:bookmarkStart w:id="69" w:name="_Toc51939458"/>
      <w:bookmarkStart w:id="70" w:name="_Toc52021540"/>
      <w:bookmarkStart w:id="71" w:name="_Toc51756493"/>
      <w:bookmarkStart w:id="72" w:name="_Toc56353012"/>
      <w:r>
        <w:rPr>
          <w:rFonts w:hint="eastAsia" w:hAnsi="宋体"/>
          <w:sz w:val="36"/>
          <w:szCs w:val="28"/>
        </w:rPr>
        <w:t xml:space="preserve">章 </w:t>
      </w:r>
      <w:bookmarkEnd w:id="68"/>
      <w:bookmarkEnd w:id="69"/>
      <w:bookmarkEnd w:id="70"/>
      <w:bookmarkEnd w:id="71"/>
      <w:bookmarkEnd w:id="72"/>
      <w:bookmarkStart w:id="73" w:name="_Toc44772671"/>
      <w:bookmarkStart w:id="74" w:name="_Toc41907934"/>
      <w:bookmarkStart w:id="75" w:name="_Toc44483545"/>
      <w:bookmarkStart w:id="76" w:name="_Toc44484953"/>
      <w:bookmarkStart w:id="77" w:name="_Toc498145128"/>
      <w:bookmarkStart w:id="78" w:name="_Toc43880863"/>
      <w:bookmarkStart w:id="79" w:name="_Toc231028109"/>
      <w:r>
        <w:rPr>
          <w:rFonts w:hint="eastAsia" w:hAnsi="宋体"/>
          <w:sz w:val="36"/>
          <w:szCs w:val="28"/>
        </w:rPr>
        <w:t>合同格式</w:t>
      </w:r>
      <w:bookmarkEnd w:id="57"/>
    </w:p>
    <w:bookmarkEnd w:id="73"/>
    <w:bookmarkEnd w:id="74"/>
    <w:bookmarkEnd w:id="75"/>
    <w:bookmarkEnd w:id="76"/>
    <w:bookmarkEnd w:id="77"/>
    <w:bookmarkEnd w:id="78"/>
    <w:bookmarkEnd w:id="79"/>
    <w:p>
      <w:pPr>
        <w:jc w:val="center"/>
        <w:rPr>
          <w:rFonts w:ascii="宋体" w:hAnsi="宋体" w:eastAsia="宋体"/>
          <w:sz w:val="22"/>
          <w:szCs w:val="22"/>
        </w:rPr>
      </w:pPr>
      <w:r>
        <w:rPr>
          <w:rFonts w:hint="eastAsia" w:ascii="宋体" w:hAnsi="宋体" w:eastAsia="宋体"/>
          <w:sz w:val="22"/>
          <w:szCs w:val="22"/>
        </w:rPr>
        <w:t>（货物类）</w:t>
      </w:r>
    </w:p>
    <w:p>
      <w:pPr>
        <w:spacing w:line="420" w:lineRule="atLeast"/>
        <w:ind w:right="560"/>
        <w:rPr>
          <w:rFonts w:ascii="宋体" w:hAnsi="宋体" w:eastAsia="宋体"/>
          <w:sz w:val="22"/>
          <w:szCs w:val="22"/>
          <w:u w:val="single"/>
        </w:rPr>
      </w:pPr>
    </w:p>
    <w:p>
      <w:pPr>
        <w:spacing w:line="420" w:lineRule="atLeast"/>
        <w:ind w:right="1440"/>
        <w:jc w:val="center"/>
        <w:rPr>
          <w:rFonts w:ascii="宋体" w:hAnsi="宋体" w:eastAsia="宋体"/>
          <w:sz w:val="22"/>
          <w:szCs w:val="22"/>
        </w:rPr>
      </w:pPr>
      <w:r>
        <w:rPr>
          <w:rFonts w:hint="eastAsia" w:ascii="宋体" w:hAnsi="宋体" w:eastAsia="宋体"/>
          <w:sz w:val="22"/>
          <w:szCs w:val="22"/>
        </w:rPr>
        <w:t xml:space="preserve">                                              合同编号：</w:t>
      </w:r>
    </w:p>
    <w:p>
      <w:pPr>
        <w:spacing w:line="420" w:lineRule="atLeast"/>
        <w:rPr>
          <w:rFonts w:ascii="宋体" w:hAnsi="宋体" w:eastAsia="宋体"/>
          <w:sz w:val="22"/>
          <w:szCs w:val="22"/>
        </w:rPr>
      </w:pPr>
    </w:p>
    <w:p>
      <w:pPr>
        <w:spacing w:line="420" w:lineRule="atLeast"/>
        <w:rPr>
          <w:rFonts w:ascii="宋体" w:hAnsi="宋体" w:eastAsia="宋体"/>
          <w:sz w:val="22"/>
          <w:szCs w:val="22"/>
        </w:rPr>
      </w:pPr>
      <w:r>
        <w:rPr>
          <w:rFonts w:hint="eastAsia" w:ascii="宋体" w:hAnsi="宋体" w:eastAsia="宋体"/>
          <w:sz w:val="22"/>
          <w:szCs w:val="22"/>
        </w:rPr>
        <w:t>甲方：</w:t>
      </w:r>
    </w:p>
    <w:p>
      <w:pPr>
        <w:spacing w:line="420" w:lineRule="atLeast"/>
        <w:rPr>
          <w:rFonts w:ascii="宋体" w:hAnsi="宋体" w:eastAsia="宋体"/>
          <w:sz w:val="22"/>
          <w:szCs w:val="22"/>
        </w:rPr>
      </w:pPr>
      <w:r>
        <w:rPr>
          <w:rFonts w:hint="eastAsia" w:ascii="宋体" w:hAnsi="宋体" w:eastAsia="宋体"/>
          <w:sz w:val="22"/>
          <w:szCs w:val="22"/>
        </w:rPr>
        <w:t xml:space="preserve">乙方：“ </w:t>
      </w:r>
      <w:r>
        <w:rPr>
          <w:rFonts w:hint="eastAsia" w:ascii="宋体" w:hAnsi="宋体" w:eastAsia="宋体"/>
          <w:sz w:val="22"/>
          <w:szCs w:val="22"/>
          <w:u w:val="single"/>
        </w:rPr>
        <w:t xml:space="preserve">                         </w:t>
      </w:r>
      <w:r>
        <w:rPr>
          <w:rFonts w:hint="eastAsia" w:ascii="宋体" w:hAnsi="宋体" w:eastAsia="宋体"/>
          <w:sz w:val="22"/>
          <w:szCs w:val="22"/>
        </w:rPr>
        <w:t>”为中标人</w:t>
      </w:r>
    </w:p>
    <w:p>
      <w:pPr>
        <w:spacing w:line="420" w:lineRule="atLeast"/>
        <w:rPr>
          <w:rFonts w:ascii="宋体" w:hAnsi="宋体" w:eastAsia="宋体"/>
          <w:sz w:val="22"/>
          <w:szCs w:val="22"/>
        </w:rPr>
      </w:pPr>
    </w:p>
    <w:p>
      <w:pPr>
        <w:spacing w:line="420" w:lineRule="atLeast"/>
        <w:ind w:firstLine="440" w:firstLineChars="200"/>
        <w:rPr>
          <w:rFonts w:ascii="宋体" w:hAnsi="宋体" w:eastAsia="宋体"/>
          <w:sz w:val="22"/>
          <w:szCs w:val="22"/>
        </w:rPr>
      </w:pPr>
      <w:r>
        <w:rPr>
          <w:rFonts w:hint="eastAsia" w:ascii="宋体" w:hAnsi="宋体" w:eastAsia="宋体"/>
          <w:sz w:val="22"/>
          <w:szCs w:val="22"/>
        </w:rPr>
        <w:t>根据               项目的采购结果，按照《中华人民共和国招标投标法》及其实施条例、</w:t>
      </w:r>
      <w:r>
        <w:rPr>
          <w:rFonts w:asciiTheme="minorEastAsia" w:hAnsiTheme="minorEastAsia" w:eastAsiaTheme="minorEastAsia"/>
          <w:sz w:val="22"/>
          <w:szCs w:val="22"/>
        </w:rPr>
        <w:t>《中华人民共和国民法典》</w:t>
      </w:r>
      <w:bookmarkStart w:id="85" w:name="_GoBack"/>
      <w:bookmarkEnd w:id="85"/>
      <w:r>
        <w:rPr>
          <w:rFonts w:hint="eastAsia" w:ascii="宋体" w:hAnsi="宋体" w:eastAsia="宋体"/>
          <w:sz w:val="22"/>
          <w:szCs w:val="22"/>
        </w:rPr>
        <w:t>，经双方协商，本着平等互利和诚实信用的原则，一致同意签订本合同如下。</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第一条 合同项目</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1、项目名称：                              ；</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2、招标编号：                     。</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第二条 合同组成</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1、合同文件组成内容包括：本合同书 、中标通知书、投标文件（含澄清内容）、招标文件（含招标文件澄清通知）等。</w:t>
      </w:r>
    </w:p>
    <w:p>
      <w:pPr>
        <w:spacing w:line="420" w:lineRule="atLeast"/>
        <w:ind w:firstLine="442" w:firstLineChars="200"/>
        <w:rPr>
          <w:rFonts w:ascii="宋体" w:hAnsi="宋体" w:eastAsia="宋体"/>
          <w:b/>
          <w:sz w:val="22"/>
          <w:szCs w:val="22"/>
        </w:rPr>
      </w:pPr>
      <w:bookmarkStart w:id="80" w:name="_Toc86481558"/>
      <w:r>
        <w:rPr>
          <w:rFonts w:hint="eastAsia" w:ascii="宋体" w:hAnsi="宋体" w:eastAsia="宋体"/>
          <w:b/>
          <w:sz w:val="22"/>
          <w:szCs w:val="22"/>
        </w:rPr>
        <w:t>第三条 合同货物清单</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1、乙方负责向甲方供应下表中所列货物：</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25"/>
        <w:gridCol w:w="3240"/>
        <w:gridCol w:w="90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35" w:type="dxa"/>
            <w:tcBorders>
              <w:left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序号</w:t>
            </w:r>
          </w:p>
        </w:tc>
        <w:tc>
          <w:tcPr>
            <w:tcW w:w="1425" w:type="dxa"/>
            <w:tcBorders>
              <w:left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货物名称</w:t>
            </w:r>
          </w:p>
        </w:tc>
        <w:tc>
          <w:tcPr>
            <w:tcW w:w="3240" w:type="dxa"/>
            <w:tcBorders>
              <w:left w:val="single" w:color="auto" w:sz="4" w:space="0"/>
              <w:bottom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品牌、规格型号、配置</w:t>
            </w:r>
          </w:p>
          <w:p>
            <w:pPr>
              <w:spacing w:line="360" w:lineRule="auto"/>
              <w:jc w:val="center"/>
              <w:rPr>
                <w:rFonts w:ascii="宋体" w:hAnsi="宋体" w:eastAsia="宋体"/>
                <w:sz w:val="22"/>
                <w:szCs w:val="22"/>
              </w:rPr>
            </w:pPr>
            <w:r>
              <w:rPr>
                <w:rFonts w:hint="eastAsia" w:ascii="宋体" w:hAnsi="宋体" w:eastAsia="宋体"/>
                <w:sz w:val="22"/>
                <w:szCs w:val="22"/>
              </w:rPr>
              <w:t>（性能参数）</w:t>
            </w:r>
          </w:p>
        </w:tc>
        <w:tc>
          <w:tcPr>
            <w:tcW w:w="900" w:type="dxa"/>
            <w:tcBorders>
              <w:left w:val="single" w:color="auto" w:sz="4" w:space="0"/>
              <w:bottom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产地</w:t>
            </w:r>
          </w:p>
        </w:tc>
        <w:tc>
          <w:tcPr>
            <w:tcW w:w="900" w:type="dxa"/>
            <w:tcBorders>
              <w:left w:val="single" w:color="auto" w:sz="4" w:space="0"/>
              <w:bottom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数量</w:t>
            </w:r>
          </w:p>
        </w:tc>
        <w:tc>
          <w:tcPr>
            <w:tcW w:w="1080" w:type="dxa"/>
            <w:tcBorders>
              <w:left w:val="single" w:color="auto" w:sz="4" w:space="0"/>
              <w:bottom w:val="nil"/>
              <w:right w:val="single" w:color="auto" w:sz="8"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单价</w:t>
            </w:r>
          </w:p>
          <w:p>
            <w:pPr>
              <w:spacing w:line="360" w:lineRule="auto"/>
              <w:jc w:val="center"/>
              <w:rPr>
                <w:rFonts w:ascii="宋体" w:hAnsi="宋体" w:eastAsia="宋体"/>
                <w:sz w:val="22"/>
                <w:szCs w:val="22"/>
              </w:rPr>
            </w:pPr>
            <w:r>
              <w:rPr>
                <w:rFonts w:hint="eastAsia" w:ascii="宋体" w:hAnsi="宋体" w:eastAsia="宋体"/>
                <w:sz w:val="22"/>
                <w:szCs w:val="22"/>
              </w:rPr>
              <w:t>(元)</w:t>
            </w:r>
          </w:p>
        </w:tc>
        <w:tc>
          <w:tcPr>
            <w:tcW w:w="900" w:type="dxa"/>
            <w:tcBorders>
              <w:left w:val="single" w:color="auto" w:sz="4" w:space="0"/>
              <w:bottom w:val="nil"/>
              <w:right w:val="single" w:color="auto" w:sz="8"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5" w:type="dxa"/>
            <w:tcBorders>
              <w:left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1</w:t>
            </w:r>
          </w:p>
        </w:tc>
        <w:tc>
          <w:tcPr>
            <w:tcW w:w="1425" w:type="dxa"/>
            <w:tcBorders>
              <w:left w:val="single" w:color="auto" w:sz="8" w:space="0"/>
              <w:right w:val="single" w:color="auto" w:sz="4" w:space="0"/>
            </w:tcBorders>
            <w:vAlign w:val="center"/>
          </w:tcPr>
          <w:p>
            <w:pPr>
              <w:spacing w:line="360" w:lineRule="auto"/>
              <w:rPr>
                <w:rFonts w:ascii="宋体" w:hAnsi="宋体" w:eastAsia="宋体"/>
                <w:sz w:val="22"/>
                <w:szCs w:val="22"/>
              </w:rPr>
            </w:pPr>
          </w:p>
        </w:tc>
        <w:tc>
          <w:tcPr>
            <w:tcW w:w="3240" w:type="dxa"/>
            <w:tcBorders>
              <w:left w:val="single" w:color="auto" w:sz="4" w:space="0"/>
              <w:right w:val="single" w:color="auto" w:sz="4" w:space="0"/>
            </w:tcBorders>
            <w:vAlign w:val="center"/>
          </w:tcPr>
          <w:p>
            <w:pPr>
              <w:spacing w:line="360" w:lineRule="auto"/>
              <w:rPr>
                <w:rFonts w:ascii="宋体" w:hAnsi="宋体" w:eastAsia="宋体"/>
                <w:sz w:val="22"/>
                <w:szCs w:val="22"/>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eastAsia="宋体"/>
                <w:sz w:val="22"/>
                <w:szCs w:val="22"/>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eastAsia="宋体"/>
                <w:sz w:val="22"/>
                <w:szCs w:val="22"/>
              </w:rPr>
            </w:pPr>
          </w:p>
        </w:tc>
        <w:tc>
          <w:tcPr>
            <w:tcW w:w="1080" w:type="dxa"/>
            <w:tcBorders>
              <w:left w:val="single" w:color="auto" w:sz="4" w:space="0"/>
              <w:bottom w:val="nil"/>
              <w:right w:val="single" w:color="auto" w:sz="8" w:space="0"/>
            </w:tcBorders>
            <w:vAlign w:val="center"/>
          </w:tcPr>
          <w:p>
            <w:pPr>
              <w:spacing w:line="360" w:lineRule="auto"/>
              <w:rPr>
                <w:rFonts w:ascii="宋体" w:hAnsi="宋体" w:eastAsia="宋体"/>
                <w:sz w:val="22"/>
                <w:szCs w:val="22"/>
              </w:rPr>
            </w:pPr>
          </w:p>
        </w:tc>
        <w:tc>
          <w:tcPr>
            <w:tcW w:w="900" w:type="dxa"/>
            <w:tcBorders>
              <w:left w:val="single" w:color="auto" w:sz="4" w:space="0"/>
              <w:bottom w:val="nil"/>
              <w:right w:val="single" w:color="auto" w:sz="8" w:space="0"/>
            </w:tcBorders>
            <w:vAlign w:val="center"/>
          </w:tcPr>
          <w:p>
            <w:pPr>
              <w:spacing w:line="360"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5" w:type="dxa"/>
            <w:tcBorders>
              <w:left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2</w:t>
            </w:r>
          </w:p>
        </w:tc>
        <w:tc>
          <w:tcPr>
            <w:tcW w:w="1425" w:type="dxa"/>
            <w:tcBorders>
              <w:left w:val="single" w:color="auto" w:sz="8" w:space="0"/>
              <w:right w:val="single" w:color="auto" w:sz="4" w:space="0"/>
            </w:tcBorders>
            <w:vAlign w:val="center"/>
          </w:tcPr>
          <w:p>
            <w:pPr>
              <w:spacing w:line="360" w:lineRule="auto"/>
              <w:rPr>
                <w:rFonts w:ascii="宋体" w:hAnsi="宋体" w:eastAsia="宋体"/>
                <w:sz w:val="22"/>
                <w:szCs w:val="22"/>
              </w:rPr>
            </w:pPr>
          </w:p>
        </w:tc>
        <w:tc>
          <w:tcPr>
            <w:tcW w:w="3240" w:type="dxa"/>
            <w:tcBorders>
              <w:left w:val="single" w:color="auto" w:sz="4" w:space="0"/>
              <w:right w:val="single" w:color="auto" w:sz="4" w:space="0"/>
            </w:tcBorders>
            <w:vAlign w:val="center"/>
          </w:tcPr>
          <w:p>
            <w:pPr>
              <w:spacing w:line="360" w:lineRule="auto"/>
              <w:rPr>
                <w:rFonts w:ascii="宋体" w:hAnsi="宋体" w:eastAsia="宋体"/>
                <w:sz w:val="22"/>
                <w:szCs w:val="22"/>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eastAsia="宋体"/>
                <w:sz w:val="22"/>
                <w:szCs w:val="22"/>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eastAsia="宋体"/>
                <w:sz w:val="22"/>
                <w:szCs w:val="22"/>
              </w:rPr>
            </w:pPr>
          </w:p>
        </w:tc>
        <w:tc>
          <w:tcPr>
            <w:tcW w:w="1080" w:type="dxa"/>
            <w:tcBorders>
              <w:left w:val="single" w:color="auto" w:sz="4" w:space="0"/>
              <w:bottom w:val="nil"/>
              <w:right w:val="single" w:color="auto" w:sz="8" w:space="0"/>
            </w:tcBorders>
            <w:vAlign w:val="center"/>
          </w:tcPr>
          <w:p>
            <w:pPr>
              <w:spacing w:line="360" w:lineRule="auto"/>
              <w:rPr>
                <w:rFonts w:ascii="宋体" w:hAnsi="宋体" w:eastAsia="宋体"/>
                <w:sz w:val="22"/>
                <w:szCs w:val="22"/>
              </w:rPr>
            </w:pPr>
          </w:p>
        </w:tc>
        <w:tc>
          <w:tcPr>
            <w:tcW w:w="900" w:type="dxa"/>
            <w:tcBorders>
              <w:left w:val="single" w:color="auto" w:sz="4" w:space="0"/>
              <w:bottom w:val="nil"/>
              <w:right w:val="single" w:color="auto" w:sz="8" w:space="0"/>
            </w:tcBorders>
            <w:vAlign w:val="center"/>
          </w:tcPr>
          <w:p>
            <w:pPr>
              <w:spacing w:line="360"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5" w:type="dxa"/>
            <w:tcBorders>
              <w:left w:val="single" w:color="auto" w:sz="8"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3</w:t>
            </w:r>
          </w:p>
        </w:tc>
        <w:tc>
          <w:tcPr>
            <w:tcW w:w="1425" w:type="dxa"/>
            <w:tcBorders>
              <w:left w:val="single" w:color="auto" w:sz="8" w:space="0"/>
              <w:right w:val="single" w:color="auto" w:sz="4" w:space="0"/>
            </w:tcBorders>
            <w:vAlign w:val="center"/>
          </w:tcPr>
          <w:p>
            <w:pPr>
              <w:spacing w:line="360" w:lineRule="auto"/>
              <w:rPr>
                <w:rFonts w:ascii="宋体" w:hAnsi="宋体" w:eastAsia="宋体"/>
                <w:sz w:val="22"/>
                <w:szCs w:val="22"/>
              </w:rPr>
            </w:pPr>
          </w:p>
        </w:tc>
        <w:tc>
          <w:tcPr>
            <w:tcW w:w="3240" w:type="dxa"/>
            <w:tcBorders>
              <w:left w:val="single" w:color="auto" w:sz="4" w:space="0"/>
              <w:right w:val="single" w:color="auto" w:sz="4" w:space="0"/>
            </w:tcBorders>
            <w:vAlign w:val="center"/>
          </w:tcPr>
          <w:p>
            <w:pPr>
              <w:spacing w:line="360" w:lineRule="auto"/>
              <w:rPr>
                <w:rFonts w:ascii="宋体" w:hAnsi="宋体" w:eastAsia="宋体"/>
                <w:sz w:val="22"/>
                <w:szCs w:val="22"/>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eastAsia="宋体"/>
                <w:sz w:val="22"/>
                <w:szCs w:val="22"/>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eastAsia="宋体"/>
                <w:sz w:val="22"/>
                <w:szCs w:val="22"/>
              </w:rPr>
            </w:pPr>
          </w:p>
        </w:tc>
        <w:tc>
          <w:tcPr>
            <w:tcW w:w="1080" w:type="dxa"/>
            <w:tcBorders>
              <w:left w:val="single" w:color="auto" w:sz="4" w:space="0"/>
              <w:bottom w:val="nil"/>
              <w:right w:val="single" w:color="auto" w:sz="8" w:space="0"/>
            </w:tcBorders>
            <w:vAlign w:val="center"/>
          </w:tcPr>
          <w:p>
            <w:pPr>
              <w:spacing w:line="360" w:lineRule="auto"/>
              <w:rPr>
                <w:rFonts w:ascii="宋体" w:hAnsi="宋体" w:eastAsia="宋体"/>
                <w:sz w:val="22"/>
                <w:szCs w:val="22"/>
              </w:rPr>
            </w:pPr>
          </w:p>
        </w:tc>
        <w:tc>
          <w:tcPr>
            <w:tcW w:w="900" w:type="dxa"/>
            <w:tcBorders>
              <w:left w:val="single" w:color="auto" w:sz="4" w:space="0"/>
              <w:bottom w:val="nil"/>
              <w:right w:val="single" w:color="auto" w:sz="8" w:space="0"/>
            </w:tcBorders>
            <w:vAlign w:val="center"/>
          </w:tcPr>
          <w:p>
            <w:pPr>
              <w:spacing w:line="360"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80" w:type="dxa"/>
            <w:gridSpan w:val="7"/>
            <w:tcBorders>
              <w:left w:val="single" w:color="auto" w:sz="8" w:space="0"/>
              <w:right w:val="single" w:color="auto" w:sz="8" w:space="0"/>
            </w:tcBorders>
            <w:vAlign w:val="center"/>
          </w:tcPr>
          <w:p>
            <w:pPr>
              <w:spacing w:line="360" w:lineRule="auto"/>
              <w:rPr>
                <w:rFonts w:ascii="宋体" w:hAnsi="宋体" w:eastAsia="宋体"/>
                <w:sz w:val="22"/>
                <w:szCs w:val="22"/>
              </w:rPr>
            </w:pPr>
            <w:r>
              <w:rPr>
                <w:rFonts w:hint="eastAsia" w:ascii="宋体" w:hAnsi="宋体" w:eastAsia="宋体"/>
                <w:sz w:val="22"/>
                <w:szCs w:val="22"/>
              </w:rPr>
              <w:t xml:space="preserve">  合计总额：人民币大写：</w:t>
            </w:r>
            <w:r>
              <w:rPr>
                <w:rFonts w:hint="eastAsia" w:ascii="宋体" w:hAnsi="宋体" w:eastAsia="宋体"/>
                <w:sz w:val="22"/>
                <w:szCs w:val="22"/>
                <w:u w:val="single"/>
              </w:rPr>
              <w:t xml:space="preserve">    　　　　　　　</w:t>
            </w:r>
            <w:r>
              <w:rPr>
                <w:rFonts w:hint="eastAsia" w:ascii="宋体" w:hAnsi="宋体" w:eastAsia="宋体"/>
                <w:sz w:val="22"/>
                <w:szCs w:val="22"/>
              </w:rPr>
              <w:t>，RMB￥</w:t>
            </w:r>
            <w:r>
              <w:rPr>
                <w:rFonts w:hint="eastAsia" w:ascii="宋体" w:hAnsi="宋体" w:eastAsia="宋体"/>
                <w:sz w:val="22"/>
                <w:szCs w:val="22"/>
                <w:u w:val="single"/>
              </w:rPr>
              <w:t xml:space="preserve">    　　   </w:t>
            </w:r>
            <w:r>
              <w:rPr>
                <w:rFonts w:hint="eastAsia" w:ascii="宋体" w:hAnsi="宋体" w:eastAsia="宋体"/>
                <w:sz w:val="22"/>
                <w:szCs w:val="22"/>
              </w:rPr>
              <w:t xml:space="preserve">元。       </w:t>
            </w:r>
          </w:p>
        </w:tc>
      </w:tr>
    </w:tbl>
    <w:p>
      <w:pPr>
        <w:spacing w:line="360" w:lineRule="auto"/>
        <w:ind w:firstLine="440" w:firstLineChars="200"/>
        <w:rPr>
          <w:rFonts w:ascii="宋体" w:hAnsi="宋体" w:eastAsia="宋体"/>
          <w:sz w:val="22"/>
          <w:szCs w:val="22"/>
        </w:rPr>
      </w:pPr>
      <w:r>
        <w:rPr>
          <w:rFonts w:hint="eastAsia" w:ascii="宋体" w:hAnsi="宋体" w:eastAsia="宋体"/>
          <w:sz w:val="22"/>
          <w:szCs w:val="22"/>
        </w:rPr>
        <w:t>2、合同总额包括设备价款以及相关的安装调试、验收、培训、质保期内售后服务费、各项税费及合同实施过程中不可预见费用等。</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3、本合同价为固定不变价。</w:t>
      </w:r>
    </w:p>
    <w:p>
      <w:pPr>
        <w:spacing w:line="360" w:lineRule="auto"/>
        <w:ind w:firstLine="440" w:firstLineChars="200"/>
        <w:rPr>
          <w:rFonts w:ascii="宋体" w:hAnsi="宋体" w:eastAsia="宋体"/>
          <w:sz w:val="22"/>
          <w:szCs w:val="22"/>
        </w:rPr>
      </w:pPr>
      <w:r>
        <w:rPr>
          <w:rFonts w:hint="eastAsia" w:ascii="宋体" w:hAnsi="宋体" w:eastAsia="宋体"/>
          <w:sz w:val="22"/>
          <w:szCs w:val="22"/>
        </w:rPr>
        <w:t>注：货物名称内容必须与投标文件中货物名称内容一致。</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第四条 价格</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 xml:space="preserve">合同总价：（人民币）大写 </w:t>
      </w:r>
      <w:r>
        <w:rPr>
          <w:rFonts w:hint="eastAsia" w:ascii="宋体" w:hAnsi="宋体" w:eastAsia="宋体"/>
          <w:sz w:val="22"/>
          <w:szCs w:val="22"/>
          <w:u w:val="single"/>
        </w:rPr>
        <w:t xml:space="preserve">                        </w:t>
      </w:r>
      <w:r>
        <w:rPr>
          <w:rFonts w:hint="eastAsia" w:ascii="宋体" w:hAnsi="宋体" w:eastAsia="宋体"/>
          <w:sz w:val="22"/>
          <w:szCs w:val="22"/>
        </w:rPr>
        <w:t>（¥</w:t>
      </w:r>
      <w:r>
        <w:rPr>
          <w:rFonts w:hint="eastAsia" w:ascii="宋体" w:hAnsi="宋体" w:eastAsia="宋体"/>
          <w:sz w:val="22"/>
          <w:szCs w:val="22"/>
          <w:u w:val="single"/>
        </w:rPr>
        <w:t xml:space="preserve">               </w:t>
      </w:r>
      <w:r>
        <w:rPr>
          <w:rFonts w:hint="eastAsia" w:ascii="宋体" w:hAnsi="宋体" w:eastAsia="宋体"/>
          <w:sz w:val="22"/>
          <w:szCs w:val="22"/>
        </w:rPr>
        <w:t>）</w:t>
      </w:r>
    </w:p>
    <w:p>
      <w:pPr>
        <w:spacing w:line="420" w:lineRule="atLeast"/>
        <w:ind w:firstLine="418" w:firstLineChars="190"/>
        <w:rPr>
          <w:rFonts w:ascii="宋体" w:hAnsi="宋体" w:eastAsia="宋体"/>
          <w:sz w:val="22"/>
          <w:szCs w:val="22"/>
        </w:rPr>
      </w:pP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第五条 设备要求</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1、供应商提供的货物必须是原厂生产的、全新的、未使用过的（包括零部件，专用工具等），并完全符合原厂质量检测标准和国家检测标准、行业标准。</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2、供应商应保证，在使用该货物或货物的任何一部分时，免受第三方提出的侵犯其专利权、商标权、工业设计权、侵犯所有权和工业产权、著作权（版权）等知识产权的起诉。</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3、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4、进口产品必须具备原产地证明和商检局的检验证明及合法进货渠道证明。</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5、国内产品或合资厂的产品必须具备出厂合格证。</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6、供应商必须设有固定的售后服务维修机构。</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7、系统故障保修响应时间为：2小时内响应到用户现场。如果系统故障在检修4小时后仍无法排除，投标方应在24小时内提供不低于故障产品规格型号档次的备用产品供用户使用，直至故障产品修复。对于重大紧急故障，供应商技术人员在 1.5小时内到达最终用户现场免费服务。</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8、在保修期内由供应商负责保修，排除故障，无偿提供非操作不当及非外部原因造成的部件、配件的更换，供应商从在其指定地点收到故障产品之日起 3天内将修理后的产品或替换产品运至最终用户现场。因操作不当或外部原因损坏，造成部件的更换，应由采购人承担有关费用。保修期内，所有维修服务均为上门服务，由此产生的费用均不再收取（保修期内，由供应商免费提供备品备件及服务）。</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9、提供安装使用维护说明和一定数量的必要的备品备件。</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10、培训</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11.1供应商应对以后设备中涉及到应用和操作方面的技术提供培训。</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11.2供应商应负责对用户使用、操作、维修、保养人员免费进行培训，并提供安装使用维护说明和一定数量的必要的备品备件。</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 xml:space="preserve">11.3供应商负责免费为采购人培训维修人员2名，达到了解设备的电器原理和机械结构，可完成日常维修保养的技术水平。 </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11.4培训时间：供应商根据课程内容自定。</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第六条 付款方式</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1、货物到达采购人指定地点安装调试交付并验收合格后，22个工作日内由采购人向中标人支付合同总金额的100%。</w:t>
      </w:r>
    </w:p>
    <w:p>
      <w:pPr>
        <w:spacing w:line="420" w:lineRule="atLeast"/>
        <w:ind w:firstLine="440" w:firstLineChars="200"/>
        <w:rPr>
          <w:rFonts w:ascii="宋体" w:hAnsi="宋体" w:eastAsia="宋体" w:cs="宋体"/>
          <w:kern w:val="0"/>
          <w:sz w:val="22"/>
          <w:szCs w:val="22"/>
        </w:rPr>
      </w:pPr>
      <w:r>
        <w:rPr>
          <w:rFonts w:hint="eastAsia" w:ascii="宋体" w:hAnsi="宋体" w:eastAsia="宋体"/>
          <w:sz w:val="22"/>
          <w:szCs w:val="22"/>
        </w:rPr>
        <w:t>2、乙方必须在申请验收时向甲方提供本项目的全额有效合法的发票</w:t>
      </w:r>
      <w:r>
        <w:rPr>
          <w:rFonts w:hint="eastAsia" w:ascii="宋体" w:hAnsi="宋体" w:eastAsia="宋体" w:cs="宋体"/>
          <w:kern w:val="0"/>
          <w:sz w:val="22"/>
          <w:szCs w:val="22"/>
        </w:rPr>
        <w:t>。乙方提供发票迟延的，甲方有权延迟验收及支付款项。</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3、因甲方使用的是财政资金，甲方在前款规定的付款时间为向政府采购支付部门提出办理财政支付申请手续的时间（不含政府财政支付部门审核的时间），在规定时间内提出支付申请手续后即视为甲方已经按期支付</w:t>
      </w:r>
      <w:r>
        <w:rPr>
          <w:rFonts w:ascii="宋体" w:hAnsi="宋体" w:eastAsia="宋体" w:cs="宋体"/>
          <w:kern w:val="0"/>
          <w:sz w:val="22"/>
          <w:szCs w:val="22"/>
        </w:rPr>
        <w:t>，乙方同意不视为逾期付款</w:t>
      </w:r>
      <w:r>
        <w:rPr>
          <w:rFonts w:hint="eastAsia" w:ascii="宋体" w:hAnsi="宋体" w:eastAsia="宋体" w:cs="宋体"/>
          <w:kern w:val="0"/>
          <w:sz w:val="22"/>
          <w:szCs w:val="22"/>
        </w:rPr>
        <w:t>。</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 xml:space="preserve">第七条 </w:t>
      </w:r>
      <w:r>
        <w:rPr>
          <w:rFonts w:hint="eastAsia" w:ascii="宋体" w:hAnsi="宋体" w:eastAsia="宋体" w:cs="宋体"/>
          <w:b/>
          <w:kern w:val="0"/>
          <w:sz w:val="22"/>
          <w:szCs w:val="22"/>
        </w:rPr>
        <w:t>交货日期</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1、</w:t>
      </w:r>
      <w:r>
        <w:rPr>
          <w:rFonts w:ascii="宋体" w:eastAsia="宋体" w:cs="宋体"/>
          <w:sz w:val="22"/>
          <w:szCs w:val="22"/>
        </w:rPr>
        <w:t>自合同生效之日起</w:t>
      </w:r>
      <w:r>
        <w:rPr>
          <w:rFonts w:hint="eastAsia" w:ascii="宋体" w:eastAsia="宋体" w:cs="宋体"/>
          <w:sz w:val="22"/>
          <w:szCs w:val="22"/>
        </w:rPr>
        <w:t>30</w:t>
      </w:r>
      <w:r>
        <w:rPr>
          <w:rFonts w:ascii="宋体" w:eastAsia="宋体" w:cs="宋体"/>
          <w:sz w:val="22"/>
          <w:szCs w:val="22"/>
        </w:rPr>
        <w:t>个日历日完成供货、安装、调试</w:t>
      </w:r>
      <w:r>
        <w:rPr>
          <w:rFonts w:hint="eastAsia" w:ascii="宋体" w:hAnsi="宋体" w:eastAsia="宋体" w:cs="宋体"/>
          <w:kern w:val="0"/>
          <w:sz w:val="22"/>
          <w:szCs w:val="22"/>
        </w:rPr>
        <w:t>。</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2、交货地点：           或甲方指定地点。</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 xml:space="preserve">第八条 </w:t>
      </w:r>
      <w:r>
        <w:rPr>
          <w:rFonts w:hint="eastAsia" w:ascii="宋体" w:hAnsi="宋体" w:eastAsia="宋体" w:cs="宋体"/>
          <w:b/>
          <w:kern w:val="0"/>
          <w:sz w:val="22"/>
          <w:szCs w:val="22"/>
        </w:rPr>
        <w:t>安装与调试</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1、乙方必须在交货的同时，按本合同的技术规格、技术规范的要求向甲方提供安装调试，并</w:t>
      </w:r>
      <w:r>
        <w:rPr>
          <w:rFonts w:ascii="宋体" w:hAnsi="宋体" w:eastAsia="宋体" w:cs="宋体"/>
          <w:kern w:val="0"/>
          <w:sz w:val="22"/>
          <w:szCs w:val="22"/>
        </w:rPr>
        <w:t>应当在</w:t>
      </w:r>
      <w:r>
        <w:rPr>
          <w:rFonts w:ascii="宋体" w:hAnsi="宋体" w:eastAsia="宋体" w:cs="宋体"/>
          <w:kern w:val="0"/>
          <w:sz w:val="22"/>
          <w:szCs w:val="22"/>
          <w:u w:val="single"/>
        </w:rPr>
        <w:t xml:space="preserve">      </w:t>
      </w:r>
      <w:r>
        <w:rPr>
          <w:rFonts w:hint="eastAsia" w:ascii="宋体" w:hAnsi="宋体" w:eastAsia="宋体" w:cs="宋体"/>
          <w:kern w:val="0"/>
          <w:sz w:val="22"/>
          <w:szCs w:val="22"/>
        </w:rPr>
        <w:t>天</w:t>
      </w:r>
      <w:r>
        <w:rPr>
          <w:rFonts w:ascii="宋体" w:hAnsi="宋体" w:eastAsia="宋体" w:cs="宋体"/>
          <w:kern w:val="0"/>
          <w:sz w:val="22"/>
          <w:szCs w:val="22"/>
        </w:rPr>
        <w:t>内</w:t>
      </w:r>
      <w:r>
        <w:rPr>
          <w:rFonts w:hint="eastAsia" w:ascii="宋体" w:hAnsi="宋体" w:eastAsia="宋体" w:cs="宋体"/>
          <w:kern w:val="0"/>
          <w:sz w:val="22"/>
          <w:szCs w:val="22"/>
        </w:rPr>
        <w:t>将设备调试到最佳状态。未经甲方书面同意，不得更换合同内签订的货物。</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第九条 验收方式及质保期、售后服务要求</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1、验收应在甲乙双方共同参加下进行，依据招标文件及本合同的有关规定制定的方案进行验收，并按国家有关规定、规范进行。</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2、甲方组织项目验收小组按国家有关规定、规范进行验收，必要时邀请相关专业人员或机构参与验收。</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3、对验收不合格的部分，乙方应在甲方规定时间内及时整改完善直至合格。</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4、</w:t>
      </w:r>
      <w:r>
        <w:rPr>
          <w:rFonts w:hint="eastAsia" w:ascii="宋体" w:hAnsi="宋体" w:eastAsia="宋体" w:cs="宋体"/>
          <w:kern w:val="0"/>
          <w:sz w:val="22"/>
          <w:szCs w:val="22"/>
        </w:rPr>
        <w:tab/>
      </w:r>
      <w:r>
        <w:rPr>
          <w:rFonts w:hint="eastAsia" w:ascii="宋体" w:hAnsi="宋体" w:eastAsia="宋体" w:cs="宋体"/>
          <w:kern w:val="0"/>
          <w:sz w:val="22"/>
          <w:szCs w:val="22"/>
        </w:rPr>
        <w:t>乙方对货物提供   年的质保期。在质保期内，如货物非因甲方的人为原因而出现的质量问题由乙方负责①在接到通知  小时内，乙方应用备件替代问题件，保证设备继续正常运行；②对问题件进行包修、包换或包退，并承担修理、调换或退货的实际费用。</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5、</w:t>
      </w:r>
      <w:r>
        <w:rPr>
          <w:rFonts w:hint="eastAsia" w:ascii="宋体" w:hAnsi="宋体" w:eastAsia="宋体" w:cs="宋体"/>
          <w:kern w:val="0"/>
          <w:sz w:val="22"/>
          <w:szCs w:val="22"/>
        </w:rPr>
        <w:tab/>
      </w:r>
      <w:r>
        <w:rPr>
          <w:rFonts w:hint="eastAsia" w:ascii="宋体" w:hAnsi="宋体" w:eastAsia="宋体" w:cs="宋体"/>
          <w:kern w:val="0"/>
          <w:sz w:val="22"/>
          <w:szCs w:val="22"/>
        </w:rPr>
        <w:t>乙方不能在限期内按以上要求替代、维修问题货物，甲方有权自行修复，费用由乙方支付。甲乙双方均不能修理或调换的，按不能交货处理，乙方应退回  %货款。</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6、如货物经乙方3次维修仍不能达到合同约定的质量标准，甲方有权退货，并视作乙方不能交付货物而须支付违约赔偿金给甲方，甲方还可依法追究乙方的违约责任。</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7、</w:t>
      </w:r>
      <w:r>
        <w:rPr>
          <w:rFonts w:hint="eastAsia" w:ascii="宋体" w:hAnsi="宋体" w:eastAsia="宋体" w:cs="宋体"/>
          <w:kern w:val="0"/>
          <w:sz w:val="22"/>
          <w:szCs w:val="22"/>
        </w:rPr>
        <w:tab/>
      </w:r>
      <w:r>
        <w:rPr>
          <w:rFonts w:hint="eastAsia" w:ascii="宋体" w:hAnsi="宋体" w:eastAsia="宋体" w:cs="宋体"/>
          <w:kern w:val="0"/>
          <w:sz w:val="22"/>
          <w:szCs w:val="22"/>
        </w:rPr>
        <w:t>乙方应提供交货地点所在地的货物报修电话及联系人。</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第十条 税和关税</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1、中国政府根据现行税法对甲方征收的与本合同有关的一切税费均应由甲方承担。</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2、中国政府根据现行税法规定对乙方或其雇员征收的与本合同有关的一切税费应由乙方承担。</w:t>
      </w:r>
    </w:p>
    <w:p>
      <w:pPr>
        <w:spacing w:line="420" w:lineRule="atLeast"/>
        <w:ind w:firstLine="440" w:firstLineChars="200"/>
        <w:rPr>
          <w:rFonts w:ascii="宋体" w:hAnsi="宋体" w:eastAsia="宋体"/>
          <w:b/>
          <w:sz w:val="22"/>
          <w:szCs w:val="22"/>
        </w:rPr>
      </w:pPr>
      <w:r>
        <w:rPr>
          <w:rFonts w:hint="eastAsia" w:ascii="宋体" w:hAnsi="宋体" w:eastAsia="宋体"/>
          <w:sz w:val="22"/>
          <w:szCs w:val="22"/>
        </w:rPr>
        <w:t>3、在中国境外发生的与本合同执行有关的一切税费均应由乙方承担。</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第十一条 其它约定</w:t>
      </w:r>
    </w:p>
    <w:p>
      <w:pPr>
        <w:spacing w:line="400" w:lineRule="exact"/>
        <w:ind w:firstLine="440" w:firstLineChars="200"/>
        <w:rPr>
          <w:rFonts w:ascii="宋体" w:hAnsi="宋体" w:eastAsia="宋体"/>
          <w:sz w:val="22"/>
          <w:szCs w:val="22"/>
        </w:rPr>
      </w:pPr>
      <w:r>
        <w:rPr>
          <w:rFonts w:ascii="宋体" w:hAnsi="宋体" w:eastAsia="宋体"/>
          <w:sz w:val="22"/>
          <w:szCs w:val="22"/>
        </w:rPr>
        <w:t>1</w:t>
      </w:r>
      <w:r>
        <w:rPr>
          <w:rFonts w:hint="eastAsia" w:ascii="宋体" w:hAnsi="宋体" w:eastAsia="宋体"/>
          <w:sz w:val="22"/>
          <w:szCs w:val="22"/>
        </w:rPr>
        <w:t>、严禁转包，未经甲方书面同意不得分包。</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2、乙方全部工作人员，须符合东莞市政府用工标准要求。</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3、乙方服务人员进行服务期间的过失或故意行为，造成甲方经济损失的，由乙方负责赔偿。</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4、服务人员的劳动关系隶属乙方，乙方负责服务人员的工资、节假日和超时加班补助费、社会保险、住宿、伙食等。</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5、乙方负责本项目服务人员购买因意外身故或伤残和因意外事故住院治疗保险，并负责办理一切保险赔偿手续。</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第十二条 违约责任</w:t>
      </w:r>
    </w:p>
    <w:bookmarkEnd w:id="80"/>
    <w:p>
      <w:pPr>
        <w:spacing w:line="420" w:lineRule="atLeast"/>
        <w:ind w:firstLine="440" w:firstLineChars="200"/>
        <w:rPr>
          <w:rFonts w:ascii="宋体" w:hAnsi="宋体" w:eastAsia="宋体"/>
          <w:sz w:val="22"/>
          <w:szCs w:val="22"/>
        </w:rPr>
      </w:pPr>
      <w:bookmarkStart w:id="81" w:name="_Toc86481570"/>
      <w:r>
        <w:rPr>
          <w:rFonts w:hint="eastAsia" w:ascii="宋体" w:hAnsi="宋体" w:eastAsia="宋体"/>
          <w:sz w:val="22"/>
          <w:szCs w:val="22"/>
        </w:rPr>
        <w:t>1、乙方交付的货物、工程/提供的服务不符合采购文件、报价文件或本合同规定的，甲方有权拒收，并且乙方须向甲方支付本合同总价  %的违约金。</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2、乙方未能按本合同规定的交货时间交付货物的/提供服务，从逾期之日起每日按本合同总价  ‰的数额向甲方支付违约金；逾期半个月以上的，乙方向甲方偿付本合同总的   %的违约金</w:t>
      </w:r>
      <w:r>
        <w:rPr>
          <w:rFonts w:ascii="宋体" w:hAnsi="宋体" w:eastAsia="宋体"/>
          <w:sz w:val="22"/>
          <w:szCs w:val="22"/>
        </w:rPr>
        <w:t>，且</w:t>
      </w:r>
      <w:r>
        <w:rPr>
          <w:rFonts w:hint="eastAsia" w:ascii="宋体" w:hAnsi="宋体" w:eastAsia="宋体"/>
          <w:sz w:val="22"/>
          <w:szCs w:val="22"/>
        </w:rPr>
        <w:t>甲方有权终止合同，由此造成的甲方经济损失由乙方承担。</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3、甲方无正当理由拒收货物/接受服务，到期拒付货物/服务款项的，甲方向乙方偿付本合同总的  %的违约金。甲方人逾期付款，则每日按本合同总价的  ‰向乙方偿付违约金。</w:t>
      </w:r>
    </w:p>
    <w:p>
      <w:pPr>
        <w:spacing w:line="420" w:lineRule="atLeast"/>
        <w:ind w:firstLine="440" w:firstLineChars="200"/>
        <w:rPr>
          <w:rFonts w:ascii="宋体" w:hAnsi="宋体" w:eastAsia="宋体"/>
          <w:sz w:val="22"/>
          <w:szCs w:val="22"/>
        </w:rPr>
      </w:pPr>
      <w:r>
        <w:rPr>
          <w:rFonts w:ascii="宋体" w:hAnsi="宋体" w:eastAsia="宋体"/>
          <w:sz w:val="22"/>
          <w:szCs w:val="22"/>
        </w:rPr>
        <w:t>4</w:t>
      </w:r>
      <w:r>
        <w:rPr>
          <w:rFonts w:hint="eastAsia" w:ascii="宋体" w:hAnsi="宋体" w:eastAsia="宋体"/>
          <w:sz w:val="22"/>
          <w:szCs w:val="22"/>
        </w:rPr>
        <w:t>、未经甲方书面许可，乙方将本合同项下工作整体及/或其任何部分转包及/或分包给第三方的，乙方应按本合同总价的</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rPr>
        <w:t>%向甲方支付违约金，且甲方有权单方解除本合同。</w:t>
      </w:r>
    </w:p>
    <w:p>
      <w:pPr>
        <w:spacing w:line="420" w:lineRule="atLeast"/>
        <w:ind w:firstLine="443"/>
        <w:rPr>
          <w:rFonts w:ascii="宋体" w:hAnsi="宋体" w:eastAsia="宋体"/>
          <w:sz w:val="22"/>
          <w:szCs w:val="22"/>
        </w:rPr>
      </w:pPr>
      <w:r>
        <w:rPr>
          <w:rFonts w:ascii="宋体" w:hAnsi="宋体" w:eastAsia="宋体"/>
          <w:sz w:val="22"/>
          <w:szCs w:val="22"/>
        </w:rPr>
        <w:t>5</w:t>
      </w:r>
      <w:r>
        <w:rPr>
          <w:rFonts w:hint="eastAsia" w:ascii="宋体" w:hAnsi="宋体" w:eastAsia="宋体"/>
          <w:sz w:val="22"/>
          <w:szCs w:val="22"/>
        </w:rPr>
        <w:t>、乙方违反本合同约定之保密义务、擅自向第三方泄露甲方商业秘密的，乙方应按本合同总价的</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rPr>
        <w:t>%向甲方支付违约金，且甲方有权单方解除本合同。</w:t>
      </w:r>
    </w:p>
    <w:p>
      <w:pPr>
        <w:spacing w:line="420" w:lineRule="atLeast"/>
        <w:ind w:firstLine="443"/>
        <w:rPr>
          <w:rFonts w:ascii="宋体" w:hAnsi="宋体" w:eastAsia="宋体"/>
          <w:sz w:val="22"/>
          <w:szCs w:val="22"/>
        </w:rPr>
      </w:pPr>
      <w:r>
        <w:rPr>
          <w:rFonts w:ascii="宋体" w:hAnsi="宋体" w:eastAsia="宋体"/>
          <w:sz w:val="22"/>
          <w:szCs w:val="22"/>
        </w:rPr>
        <w:t>6</w:t>
      </w:r>
      <w:r>
        <w:rPr>
          <w:rFonts w:hint="eastAsia" w:ascii="宋体" w:hAnsi="宋体" w:eastAsia="宋体"/>
          <w:sz w:val="22"/>
          <w:szCs w:val="22"/>
        </w:rPr>
        <w:t>、本合同履行完毕前，乙方未经甲方同意而擅自终止/解除本合同的，本合同项下款项均不予支付且乙方应全额退还已收取款项；同时，乙方应按本合同总价的</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rPr>
        <w:t>%向甲方支付违约金。</w:t>
      </w:r>
    </w:p>
    <w:p>
      <w:pPr>
        <w:spacing w:line="420" w:lineRule="atLeast"/>
        <w:ind w:firstLine="440" w:firstLineChars="200"/>
        <w:rPr>
          <w:rFonts w:ascii="宋体" w:hAnsi="宋体" w:eastAsia="宋体"/>
          <w:sz w:val="22"/>
          <w:szCs w:val="22"/>
        </w:rPr>
      </w:pPr>
      <w:r>
        <w:rPr>
          <w:rFonts w:ascii="宋体" w:hAnsi="宋体" w:eastAsia="宋体"/>
          <w:sz w:val="22"/>
          <w:szCs w:val="22"/>
        </w:rPr>
        <w:t>7</w:t>
      </w:r>
      <w:r>
        <w:rPr>
          <w:rFonts w:hint="eastAsia" w:ascii="宋体" w:hAnsi="宋体" w:eastAsia="宋体"/>
          <w:sz w:val="22"/>
          <w:szCs w:val="22"/>
        </w:rPr>
        <w:t>、甲方有权自应付而未付款项中直接抵扣供方应付之违约金、赔偿款等，并视为已足额付款。且，因乙方违约而导致甲方选择单方解除本合同的，本合同项下款项均不予支付且乙方应全额退还已收取款项。</w:t>
      </w:r>
    </w:p>
    <w:p>
      <w:pPr>
        <w:spacing w:line="420" w:lineRule="atLeast"/>
        <w:ind w:firstLine="440" w:firstLineChars="200"/>
        <w:rPr>
          <w:rFonts w:ascii="宋体" w:hAnsi="宋体" w:eastAsia="宋体"/>
          <w:sz w:val="22"/>
          <w:szCs w:val="22"/>
        </w:rPr>
      </w:pPr>
      <w:r>
        <w:rPr>
          <w:rFonts w:ascii="宋体" w:hAnsi="宋体" w:eastAsia="宋体"/>
          <w:sz w:val="22"/>
          <w:szCs w:val="22"/>
        </w:rPr>
        <w:t>8</w:t>
      </w:r>
      <w:r>
        <w:rPr>
          <w:rFonts w:hint="eastAsia" w:ascii="宋体" w:hAnsi="宋体" w:eastAsia="宋体"/>
          <w:sz w:val="22"/>
          <w:szCs w:val="22"/>
        </w:rPr>
        <w:t>、如因乙方的违约行为导致甲方遭受损失（包括但不限于甲方为本合同履行而发生的支出、诉讼费/仲裁费、财产保全费、财产保全担保费、公证费、评估费、鉴定费、拍卖费、查询费、律师费、差旅费、调查取证费、财务费用、向第三人支付的赔偿款/违约金/费用、向政府部门支付的罚款等）的，除支付违约金外，乙方还应当予以赔偿。</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4、其它违约责任按</w:t>
      </w:r>
      <w:r>
        <w:rPr>
          <w:rFonts w:asciiTheme="minorEastAsia" w:hAnsiTheme="minorEastAsia" w:eastAsiaTheme="minorEastAsia"/>
          <w:sz w:val="22"/>
          <w:szCs w:val="22"/>
        </w:rPr>
        <w:t>《中华人民共和国民法典》</w:t>
      </w:r>
      <w:r>
        <w:rPr>
          <w:rFonts w:hint="eastAsia" w:ascii="宋体" w:hAnsi="宋体" w:eastAsia="宋体"/>
          <w:sz w:val="22"/>
          <w:szCs w:val="22"/>
        </w:rPr>
        <w:t>处理。</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第十三条 争议的解决</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合同执行过程中发生的任何争议，甲乙双方应首先通过友好协商解决，如经协商后仍不能达成协议时，任何一方可以向甲方住所地有管辖权的人民法院提出诉讼。</w:t>
      </w:r>
    </w:p>
    <w:p>
      <w:pPr>
        <w:spacing w:line="420" w:lineRule="atLeast"/>
        <w:ind w:firstLine="442" w:firstLineChars="200"/>
        <w:rPr>
          <w:rFonts w:ascii="宋体" w:hAnsi="宋体" w:eastAsia="宋体"/>
          <w:b/>
          <w:sz w:val="22"/>
          <w:szCs w:val="22"/>
        </w:rPr>
      </w:pPr>
      <w:bookmarkStart w:id="82" w:name="_Toc86481569"/>
      <w:r>
        <w:rPr>
          <w:rFonts w:hint="eastAsia" w:ascii="宋体" w:hAnsi="宋体" w:eastAsia="宋体"/>
          <w:b/>
          <w:sz w:val="22"/>
          <w:szCs w:val="22"/>
        </w:rPr>
        <w:t>第十四条 合同生效</w:t>
      </w:r>
      <w:bookmarkEnd w:id="82"/>
    </w:p>
    <w:p>
      <w:pPr>
        <w:spacing w:line="420" w:lineRule="atLeast"/>
        <w:ind w:firstLine="440" w:firstLineChars="200"/>
        <w:rPr>
          <w:rFonts w:ascii="宋体" w:hAnsi="宋体" w:eastAsia="宋体"/>
          <w:sz w:val="22"/>
          <w:szCs w:val="22"/>
        </w:rPr>
      </w:pPr>
      <w:r>
        <w:rPr>
          <w:rFonts w:hint="eastAsia" w:ascii="宋体" w:hAnsi="宋体" w:eastAsia="宋体"/>
          <w:sz w:val="22"/>
          <w:szCs w:val="22"/>
        </w:rPr>
        <w:t>1、本合同由双方法定代表人或委托代理人签字盖章后立即生效，具有同等法律效力，合同有效期随服务期结束而自然终止。</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2、本合同一式    份，其中甲方    份、乙方    份，招标代理机构 壹 份，财政分局 壹 份。</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第十五条 其它</w:t>
      </w:r>
      <w:bookmarkEnd w:id="81"/>
    </w:p>
    <w:p>
      <w:pPr>
        <w:spacing w:line="420" w:lineRule="atLeast"/>
        <w:ind w:firstLine="418" w:firstLineChars="190"/>
        <w:rPr>
          <w:rFonts w:ascii="宋体" w:hAnsi="宋体" w:eastAsia="宋体"/>
          <w:sz w:val="22"/>
          <w:szCs w:val="22"/>
        </w:rPr>
      </w:pPr>
      <w:r>
        <w:rPr>
          <w:rFonts w:hint="eastAsia" w:ascii="宋体" w:hAnsi="宋体" w:eastAsia="宋体"/>
          <w:sz w:val="22"/>
          <w:szCs w:val="22"/>
        </w:rPr>
        <w:t>1、本合同未尽事宜，双方可签订补充合同，补充合同与所有附件均为合同的有效组成部分，与本合同具有同等法律效力。</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2、在执行本合同的过程中，所有经甲乙双方签署确认的文件（包括会议纪要、补充协议、往来信函、合同附件等）即成为本合同的有效组成部分，其生效日期为双方签字盖章或确认之日期。</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3、本合同尾部列明之当事人联系方式和联系信息适用于双方工作联系往来、法律文书及争议解决时人民法院及/或仲裁机构的法律文书送达，人民法院及/或仲裁机构的诉讼文书（含裁判文书）向本合同任何一方的上述地址和/或工商登记公示地址送达的，视为有效送达。一方变更联系方式和联系信息的，应当在变更后</w:t>
      </w:r>
      <w:r>
        <w:rPr>
          <w:rFonts w:hint="eastAsia" w:ascii="宋体" w:hAnsi="宋体" w:eastAsia="宋体"/>
          <w:sz w:val="22"/>
          <w:szCs w:val="22"/>
          <w:u w:val="single"/>
        </w:rPr>
        <w:t xml:space="preserve">  3  </w:t>
      </w:r>
      <w:r>
        <w:rPr>
          <w:rFonts w:hint="eastAsia" w:ascii="宋体" w:hAnsi="宋体" w:eastAsia="宋体"/>
          <w:sz w:val="22"/>
          <w:szCs w:val="22"/>
        </w:rPr>
        <w:t>日内书面通知对方，对方实际收到变更通知前的送达仍为有效送达。</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本合同合计   页A4纸张，缺页之合同为无效合同。</w:t>
      </w:r>
    </w:p>
    <w:p>
      <w:pPr>
        <w:spacing w:line="420" w:lineRule="atLeast"/>
        <w:rPr>
          <w:rFonts w:ascii="宋体" w:hAnsi="宋体" w:eastAsia="宋体"/>
          <w:sz w:val="22"/>
          <w:szCs w:val="22"/>
        </w:rPr>
      </w:pPr>
    </w:p>
    <w:p>
      <w:pPr>
        <w:spacing w:line="420" w:lineRule="atLeast"/>
        <w:rPr>
          <w:rFonts w:ascii="宋体" w:hAnsi="宋体" w:eastAsia="宋体"/>
          <w:sz w:val="22"/>
          <w:szCs w:val="22"/>
        </w:rPr>
      </w:pPr>
    </w:p>
    <w:p>
      <w:pPr>
        <w:spacing w:line="420" w:lineRule="atLeast"/>
        <w:rPr>
          <w:rFonts w:ascii="宋体" w:hAnsi="宋体" w:eastAsia="宋体"/>
          <w:sz w:val="22"/>
          <w:szCs w:val="22"/>
        </w:rPr>
      </w:pPr>
    </w:p>
    <w:p>
      <w:pPr>
        <w:spacing w:line="420" w:lineRule="atLeast"/>
        <w:rPr>
          <w:rFonts w:ascii="宋体" w:hAnsi="宋体" w:eastAsia="宋体"/>
          <w:sz w:val="22"/>
          <w:szCs w:val="22"/>
        </w:rPr>
      </w:pPr>
      <w:r>
        <w:rPr>
          <w:rFonts w:hint="eastAsia" w:ascii="宋体" w:hAnsi="宋体" w:eastAsia="宋体"/>
          <w:sz w:val="22"/>
          <w:szCs w:val="22"/>
        </w:rPr>
        <w:t>甲方（盖章）：                             乙方（盖章）：</w:t>
      </w:r>
    </w:p>
    <w:p>
      <w:pPr>
        <w:spacing w:line="420" w:lineRule="atLeast"/>
        <w:rPr>
          <w:rFonts w:ascii="宋体" w:hAnsi="宋体" w:eastAsia="宋体"/>
          <w:sz w:val="22"/>
          <w:szCs w:val="22"/>
        </w:rPr>
      </w:pPr>
    </w:p>
    <w:p>
      <w:pPr>
        <w:spacing w:line="420" w:lineRule="atLeast"/>
        <w:rPr>
          <w:rFonts w:ascii="宋体" w:hAnsi="宋体" w:eastAsia="宋体"/>
          <w:sz w:val="22"/>
          <w:szCs w:val="22"/>
        </w:rPr>
      </w:pPr>
      <w:r>
        <w:rPr>
          <w:rFonts w:hint="eastAsia" w:ascii="宋体" w:hAnsi="宋体" w:eastAsia="宋体"/>
          <w:sz w:val="22"/>
          <w:szCs w:val="22"/>
        </w:rPr>
        <w:t>法定代表(签字)：                          法定代表(签字)：</w:t>
      </w:r>
    </w:p>
    <w:p>
      <w:pPr>
        <w:spacing w:line="420" w:lineRule="atLeast"/>
        <w:rPr>
          <w:rFonts w:ascii="宋体" w:hAnsi="宋体" w:eastAsia="宋体"/>
          <w:sz w:val="22"/>
          <w:szCs w:val="22"/>
        </w:rPr>
      </w:pPr>
      <w:r>
        <w:rPr>
          <w:rFonts w:hint="eastAsia" w:ascii="宋体" w:hAnsi="宋体" w:eastAsia="宋体"/>
          <w:sz w:val="22"/>
          <w:szCs w:val="22"/>
        </w:rPr>
        <w:t xml:space="preserve">联系人： </w:t>
      </w:r>
      <w:r>
        <w:rPr>
          <w:rFonts w:ascii="宋体" w:hAnsi="宋体" w:eastAsia="宋体"/>
          <w:sz w:val="22"/>
          <w:szCs w:val="22"/>
        </w:rPr>
        <w:t xml:space="preserve">                      </w:t>
      </w:r>
      <w:r>
        <w:rPr>
          <w:rFonts w:hint="eastAsia" w:ascii="宋体" w:hAnsi="宋体" w:eastAsia="宋体"/>
          <w:sz w:val="22"/>
          <w:szCs w:val="22"/>
        </w:rPr>
        <w:t xml:space="preserve">    </w:t>
      </w:r>
      <w:r>
        <w:rPr>
          <w:rFonts w:ascii="宋体" w:hAnsi="宋体" w:eastAsia="宋体"/>
          <w:sz w:val="22"/>
          <w:szCs w:val="22"/>
        </w:rPr>
        <w:t xml:space="preserve">    </w:t>
      </w:r>
      <w:r>
        <w:rPr>
          <w:rFonts w:hint="eastAsia" w:ascii="宋体" w:hAnsi="宋体" w:eastAsia="宋体"/>
          <w:sz w:val="22"/>
          <w:szCs w:val="22"/>
        </w:rPr>
        <w:t xml:space="preserve">   联系人：</w:t>
      </w:r>
    </w:p>
    <w:p>
      <w:pPr>
        <w:spacing w:line="420" w:lineRule="atLeast"/>
        <w:rPr>
          <w:rFonts w:ascii="宋体" w:hAnsi="宋体" w:eastAsia="宋体"/>
          <w:sz w:val="22"/>
          <w:szCs w:val="22"/>
        </w:rPr>
      </w:pPr>
      <w:r>
        <w:rPr>
          <w:rFonts w:hint="eastAsia" w:ascii="宋体" w:hAnsi="宋体" w:eastAsia="宋体"/>
          <w:sz w:val="22"/>
          <w:szCs w:val="22"/>
        </w:rPr>
        <w:t xml:space="preserve">地址：                                    地址： </w:t>
      </w:r>
    </w:p>
    <w:p>
      <w:pPr>
        <w:spacing w:line="420" w:lineRule="atLeast"/>
        <w:rPr>
          <w:rFonts w:ascii="宋体" w:hAnsi="宋体" w:eastAsia="宋体"/>
          <w:sz w:val="22"/>
          <w:szCs w:val="22"/>
        </w:rPr>
      </w:pPr>
      <w:r>
        <w:rPr>
          <w:rFonts w:hint="eastAsia" w:ascii="宋体" w:hAnsi="宋体" w:eastAsia="宋体"/>
          <w:sz w:val="22"/>
          <w:szCs w:val="22"/>
        </w:rPr>
        <w:t>电话：                                    电话：</w:t>
      </w:r>
    </w:p>
    <w:p>
      <w:pPr>
        <w:spacing w:line="420" w:lineRule="atLeast"/>
        <w:rPr>
          <w:rFonts w:ascii="宋体" w:hAnsi="宋体" w:eastAsia="宋体"/>
          <w:sz w:val="22"/>
          <w:szCs w:val="22"/>
        </w:rPr>
      </w:pPr>
      <w:r>
        <w:rPr>
          <w:rFonts w:hint="eastAsia" w:ascii="宋体" w:hAnsi="宋体" w:eastAsia="宋体"/>
          <w:sz w:val="22"/>
          <w:szCs w:val="22"/>
        </w:rPr>
        <w:t>传真：</w:t>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 xml:space="preserve">    </w:t>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 xml:space="preserve">        传真：</w:t>
      </w:r>
    </w:p>
    <w:p>
      <w:pPr>
        <w:spacing w:line="420" w:lineRule="atLeast"/>
        <w:rPr>
          <w:rFonts w:ascii="宋体" w:hAnsi="宋体" w:eastAsia="宋体"/>
          <w:sz w:val="22"/>
          <w:szCs w:val="22"/>
        </w:rPr>
      </w:pPr>
      <w:r>
        <w:rPr>
          <w:rFonts w:hint="eastAsia" w:ascii="宋体" w:hAnsi="宋体" w:eastAsia="宋体"/>
          <w:sz w:val="22"/>
          <w:szCs w:val="22"/>
        </w:rPr>
        <w:t>开户银行：</w:t>
      </w:r>
      <w:r>
        <w:rPr>
          <w:rFonts w:hint="eastAsia" w:ascii="宋体" w:hAnsi="宋体" w:eastAsia="宋体"/>
          <w:sz w:val="22"/>
          <w:szCs w:val="22"/>
        </w:rPr>
        <w:tab/>
      </w:r>
      <w:r>
        <w:rPr>
          <w:rFonts w:hint="eastAsia" w:ascii="宋体" w:hAnsi="宋体" w:eastAsia="宋体"/>
          <w:sz w:val="22"/>
          <w:szCs w:val="22"/>
        </w:rPr>
        <w:t xml:space="preserve">                               开户银行：</w:t>
      </w:r>
    </w:p>
    <w:p>
      <w:pPr>
        <w:spacing w:line="420" w:lineRule="atLeast"/>
        <w:rPr>
          <w:rFonts w:ascii="宋体" w:hAnsi="宋体" w:eastAsia="宋体"/>
          <w:sz w:val="22"/>
          <w:szCs w:val="22"/>
        </w:rPr>
      </w:pPr>
      <w:r>
        <w:rPr>
          <w:rFonts w:hint="eastAsia" w:ascii="宋体" w:hAnsi="宋体" w:eastAsia="宋体"/>
          <w:sz w:val="22"/>
          <w:szCs w:val="22"/>
        </w:rPr>
        <w:t>账号：                                    账号：</w:t>
      </w:r>
    </w:p>
    <w:p>
      <w:pPr>
        <w:spacing w:line="420" w:lineRule="atLeast"/>
        <w:rPr>
          <w:rFonts w:ascii="宋体" w:hAnsi="宋体" w:eastAsia="宋体"/>
          <w:sz w:val="22"/>
          <w:szCs w:val="22"/>
        </w:rPr>
      </w:pPr>
      <w:r>
        <w:rPr>
          <w:rFonts w:hint="eastAsia" w:ascii="宋体" w:hAnsi="宋体" w:eastAsia="宋体"/>
          <w:sz w:val="22"/>
          <w:szCs w:val="22"/>
        </w:rPr>
        <w:t>签约时间：</w:t>
      </w:r>
    </w:p>
    <w:p>
      <w:pPr>
        <w:spacing w:line="420" w:lineRule="atLeast"/>
        <w:rPr>
          <w:rFonts w:asciiTheme="minorEastAsia" w:hAnsiTheme="minorEastAsia" w:eastAsiaTheme="minorEastAsia"/>
          <w:sz w:val="22"/>
          <w:szCs w:val="22"/>
        </w:rPr>
      </w:pPr>
    </w:p>
    <w:p>
      <w:pPr>
        <w:spacing w:line="420" w:lineRule="atLeast"/>
        <w:rPr>
          <w:rFonts w:asciiTheme="minorEastAsia" w:hAnsiTheme="minorEastAsia" w:eastAsiaTheme="minorEastAsia"/>
          <w:sz w:val="22"/>
          <w:szCs w:val="22"/>
        </w:rPr>
      </w:pPr>
    </w:p>
    <w:p>
      <w:pPr>
        <w:spacing w:line="420" w:lineRule="atLeast"/>
        <w:rPr>
          <w:rFonts w:asciiTheme="minorEastAsia" w:hAnsiTheme="minorEastAsia" w:eastAsiaTheme="minorEastAsia"/>
          <w:sz w:val="22"/>
          <w:szCs w:val="22"/>
        </w:rPr>
      </w:pPr>
    </w:p>
    <w:p>
      <w:pPr>
        <w:spacing w:line="420" w:lineRule="atLeast"/>
        <w:rPr>
          <w:rFonts w:asciiTheme="minorEastAsia" w:hAnsiTheme="minorEastAsia" w:eastAsiaTheme="minorEastAsia"/>
          <w:sz w:val="22"/>
          <w:szCs w:val="22"/>
        </w:rPr>
      </w:pPr>
    </w:p>
    <w:p>
      <w:pPr>
        <w:spacing w:line="420" w:lineRule="atLeast"/>
        <w:rPr>
          <w:rFonts w:asciiTheme="minorEastAsia" w:hAnsiTheme="minorEastAsia" w:eastAsiaTheme="minorEastAsia"/>
          <w:sz w:val="22"/>
          <w:szCs w:val="22"/>
        </w:rPr>
      </w:pPr>
    </w:p>
    <w:p>
      <w:pPr>
        <w:spacing w:line="420" w:lineRule="atLeast"/>
        <w:rPr>
          <w:rFonts w:asciiTheme="minorEastAsia" w:hAnsiTheme="minorEastAsia" w:eastAsiaTheme="minorEastAsia"/>
          <w:sz w:val="22"/>
          <w:szCs w:val="22"/>
        </w:rPr>
      </w:pPr>
    </w:p>
    <w:p>
      <w:pPr>
        <w:spacing w:line="420" w:lineRule="atLeast"/>
        <w:rPr>
          <w:rFonts w:asciiTheme="minorEastAsia" w:hAnsiTheme="minorEastAsia" w:eastAsiaTheme="minorEastAsia"/>
          <w:sz w:val="22"/>
          <w:szCs w:val="22"/>
        </w:rPr>
      </w:pPr>
    </w:p>
    <w:bookmarkEnd w:id="58"/>
    <w:bookmarkEnd w:id="59"/>
    <w:bookmarkEnd w:id="60"/>
    <w:bookmarkEnd w:id="61"/>
    <w:bookmarkEnd w:id="62"/>
    <w:bookmarkEnd w:id="63"/>
    <w:bookmarkEnd w:id="64"/>
    <w:bookmarkEnd w:id="65"/>
    <w:bookmarkEnd w:id="66"/>
    <w:bookmarkEnd w:id="67"/>
    <w:p>
      <w:pPr>
        <w:pStyle w:val="2"/>
        <w:keepNext w:val="0"/>
        <w:keepLines w:val="0"/>
        <w:spacing w:before="0" w:after="0" w:line="480" w:lineRule="exact"/>
        <w:jc w:val="center"/>
        <w:rPr>
          <w:rFonts w:hAnsi="宋体"/>
          <w:sz w:val="36"/>
          <w:szCs w:val="28"/>
        </w:rPr>
      </w:pPr>
    </w:p>
    <w:p>
      <w:pPr>
        <w:pStyle w:val="2"/>
        <w:keepNext w:val="0"/>
        <w:keepLines w:val="0"/>
        <w:spacing w:before="0" w:after="0" w:line="480" w:lineRule="exact"/>
        <w:jc w:val="center"/>
        <w:rPr>
          <w:rFonts w:hAnsi="宋体"/>
          <w:sz w:val="36"/>
          <w:szCs w:val="28"/>
        </w:rPr>
      </w:pPr>
      <w:bookmarkStart w:id="83" w:name="_Toc67490477"/>
      <w:r>
        <w:rPr>
          <w:rFonts w:hAnsi="宋体"/>
          <w:sz w:val="36"/>
          <w:szCs w:val="28"/>
        </w:rPr>
        <w:t>第六章投标文件格式与要求</w:t>
      </w:r>
      <w:bookmarkEnd w:id="83"/>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投标供应商应提交证明其有资格参加投标和中标后有能力履行合同的相关文件，并作为其投标文件的一部分，所有文件必须真实可靠、不得伪造，否则将按相关规定予以处罚。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1.法人或者其他组织的营业执照等证明文件，自然人的身份证明：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法人包括企业法人、机关法人、事业单位法人和社会团体法人；其他组织主要包括合伙企业、非企业专业服务机构、个体工商户、农村承包经营户；自然人是指《中华人民共和国民法典》（以下简称《民法典》）</w:t>
      </w:r>
      <w:r>
        <w:rPr>
          <w:rFonts w:asciiTheme="minorEastAsia" w:hAnsiTheme="minorEastAsia" w:eastAsiaTheme="minorEastAsia"/>
          <w:sz w:val="22"/>
          <w:szCs w:val="22"/>
        </w:rPr>
        <w:t>规定的具有完全民事行为能力、能够承担民事责任和义务的公民。如投标供应商是企业（包括合伙企业），要提供在工商部门注册的有效“企业法人营业执照”或“营业执照”；如投标供应商是事业单位，要提供有效的“事业单位法人证书”；投标供应商是非企业专业服务机构的，如律师事务所，会计师事务所要提供执业许可证等证明文件；如投标供应商是个体工商户，要提供有效的“个体工商户营业执照”；如投标供应商是自然人，要提供有效的自然人身份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2.财务状况报告，依法缴纳税收和社会保障资金的相关材料（详见资格性审查表要求）</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3.具有履行合同所必须的设备和专业技术能力的声明。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4.投标供应商参加政府采购前三年内在经营活动中没有重大违法记录书面声明函。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5.信用记录查询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（1）查询渠道：通过“信用中国”网站(www.creditchina.gov.cn)和“中国政府采购网”（www.ccgp.gov.cn）进行查询；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（2）查询截止时点：投标（响应）截止日当天；</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（3）查询记录：对列入失信被执行人、重大税收违法案件当事人名单、政府采购严重违法失信行为记录名单、信用报告进行查询；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采购人或采购代理机构应当按照查询渠道、查询时间节点、查询记录内容进行查询，并存档。对信用记录查询结果中显示投标供应商被列入失信被执行人、重大税收违法案件当事人名单、政府采购严重违法失信行为记录名单的投标供应商作无效投标处理。</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6. 按照招标文件要求，投标供应商应当提交的资格、资信证明文件</w:t>
      </w:r>
      <w:r>
        <w:rPr>
          <w:rFonts w:hint="eastAsia" w:asciiTheme="minorEastAsia" w:hAnsiTheme="minorEastAsia" w:eastAsiaTheme="minorEastAsia"/>
          <w:sz w:val="22"/>
          <w:szCs w:val="22"/>
        </w:rPr>
        <w:t>。</w:t>
      </w:r>
    </w:p>
    <w:p>
      <w:pPr>
        <w:spacing w:line="480" w:lineRule="exact"/>
        <w:ind w:firstLine="600" w:firstLineChars="200"/>
        <w:sectPr>
          <w:footerReference r:id="rId3" w:type="default"/>
          <w:type w:val="nextColumn"/>
          <w:pgSz w:w="11900" w:h="16840"/>
          <w:pgMar w:top="1440" w:right="1644" w:bottom="1276" w:left="1644" w:header="0" w:footer="310" w:gutter="0"/>
          <w:cols w:space="720" w:num="1"/>
        </w:sectPr>
      </w:pPr>
    </w:p>
    <w:p>
      <w:pPr>
        <w:spacing w:line="480" w:lineRule="exact"/>
        <w:ind w:firstLine="600" w:firstLineChars="200"/>
        <w:rPr>
          <w:rFonts w:asciiTheme="minorEastAsia" w:hAnsiTheme="minorEastAsia" w:eastAsiaTheme="minorEastAsia"/>
        </w:rPr>
      </w:pPr>
      <w:r>
        <w:rPr>
          <w:rFonts w:asciiTheme="minorEastAsia" w:hAnsiTheme="minorEastAsia" w:eastAsiaTheme="minorEastAsia"/>
        </w:rPr>
        <w:t>格式一：</w:t>
      </w:r>
    </w:p>
    <w:p>
      <w:pPr>
        <w:spacing w:line="480" w:lineRule="exact"/>
        <w:ind w:firstLine="440" w:firstLineChars="200"/>
        <w:rPr>
          <w:rFonts w:asciiTheme="minorEastAsia" w:hAnsiTheme="minorEastAsia" w:eastAsiaTheme="minorEastAsia"/>
          <w:sz w:val="22"/>
        </w:rPr>
      </w:pPr>
    </w:p>
    <w:p>
      <w:pPr>
        <w:spacing w:line="480" w:lineRule="exact"/>
        <w:ind w:firstLine="600" w:firstLineChars="200"/>
        <w:rPr>
          <w:rFonts w:asciiTheme="minorEastAsia" w:hAnsiTheme="minorEastAsia" w:eastAsiaTheme="minorEastAsia"/>
        </w:rPr>
      </w:pPr>
    </w:p>
    <w:p>
      <w:pPr>
        <w:spacing w:line="480" w:lineRule="exact"/>
        <w:ind w:firstLine="600" w:firstLineChars="200"/>
        <w:rPr>
          <w:rFonts w:asciiTheme="minorEastAsia" w:hAnsiTheme="minorEastAsia" w:eastAsiaTheme="minorEastAsia"/>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3" w:firstLineChars="2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w:t>
      </w:r>
      <w:r>
        <w:rPr>
          <w:rFonts w:asciiTheme="minorEastAsia" w:hAnsiTheme="minorEastAsia" w:eastAsiaTheme="minorEastAsia"/>
          <w:b/>
          <w:sz w:val="32"/>
          <w:szCs w:val="32"/>
        </w:rPr>
        <w:t>文件封面</w:t>
      </w:r>
    </w:p>
    <w:p>
      <w:pPr>
        <w:spacing w:line="480" w:lineRule="exact"/>
        <w:ind w:firstLine="643" w:firstLineChars="200"/>
        <w:jc w:val="center"/>
        <w:rPr>
          <w:rFonts w:asciiTheme="minorEastAsia" w:hAnsiTheme="minorEastAsia" w:eastAsiaTheme="minorEastAsia"/>
          <w:b/>
          <w:sz w:val="32"/>
          <w:szCs w:val="32"/>
        </w:rPr>
      </w:pPr>
    </w:p>
    <w:p>
      <w:pPr>
        <w:spacing w:line="480" w:lineRule="exact"/>
        <w:ind w:firstLine="723" w:firstLineChars="200"/>
        <w:jc w:val="center"/>
        <w:rPr>
          <w:rFonts w:asciiTheme="minorEastAsia" w:hAnsiTheme="minorEastAsia" w:eastAsiaTheme="minorEastAsia"/>
          <w:b/>
          <w:sz w:val="36"/>
          <w:szCs w:val="36"/>
        </w:rPr>
      </w:pPr>
      <w:r>
        <w:rPr>
          <w:rFonts w:asciiTheme="minorEastAsia" w:hAnsiTheme="minorEastAsia" w:eastAsiaTheme="minorEastAsia"/>
          <w:b/>
          <w:sz w:val="36"/>
          <w:szCs w:val="36"/>
        </w:rPr>
        <w:t>（项目名称）</w:t>
      </w:r>
    </w:p>
    <w:p>
      <w:pPr>
        <w:spacing w:line="480" w:lineRule="exact"/>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w:t>
      </w:r>
      <w:r>
        <w:rPr>
          <w:rFonts w:asciiTheme="minorEastAsia" w:hAnsiTheme="minorEastAsia" w:eastAsiaTheme="minorEastAsia"/>
          <w:b/>
          <w:sz w:val="36"/>
          <w:szCs w:val="36"/>
        </w:rPr>
        <w:t>文件</w:t>
      </w:r>
    </w:p>
    <w:p>
      <w:pPr>
        <w:spacing w:line="480" w:lineRule="exact"/>
        <w:ind w:firstLine="723" w:firstLineChars="200"/>
        <w:jc w:val="center"/>
        <w:rPr>
          <w:rFonts w:asciiTheme="minorEastAsia" w:hAnsiTheme="minorEastAsia" w:eastAsiaTheme="minorEastAsia"/>
          <w:b/>
          <w:sz w:val="36"/>
          <w:szCs w:val="36"/>
        </w:rPr>
      </w:pP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（正本/副本）</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项目编号：</w:t>
      </w:r>
    </w:p>
    <w:p>
      <w:pPr>
        <w:spacing w:line="48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包</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号： 第 包（若项目包组时使用）</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w:t>
      </w:r>
      <w:r>
        <w:rPr>
          <w:rFonts w:hint="eastAsia" w:asciiTheme="minorEastAsia" w:hAnsiTheme="minorEastAsia" w:eastAsiaTheme="minorEastAsia"/>
          <w:sz w:val="32"/>
          <w:szCs w:val="32"/>
        </w:rPr>
        <w:t>投标</w:t>
      </w:r>
      <w:r>
        <w:rPr>
          <w:rFonts w:asciiTheme="minorEastAsia" w:hAnsiTheme="minorEastAsia" w:eastAsiaTheme="minorEastAsia"/>
          <w:sz w:val="32"/>
          <w:szCs w:val="32"/>
        </w:rPr>
        <w:t>供应商名称）</w:t>
      </w: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 年 月 日</w:t>
      </w:r>
    </w:p>
    <w:p>
      <w:pPr>
        <w:spacing w:line="480" w:lineRule="exact"/>
        <w:ind w:firstLine="440" w:firstLineChars="200"/>
        <w:rPr>
          <w:rFonts w:asciiTheme="minorEastAsia" w:hAnsiTheme="minorEastAsia" w:eastAsiaTheme="minorEastAsia"/>
          <w:sz w:val="22"/>
        </w:rPr>
        <w:sectPr>
          <w:pgSz w:w="11900" w:h="16840"/>
          <w:pgMar w:top="1440" w:right="1644" w:bottom="1276" w:left="1644" w:header="0" w:footer="310" w:gutter="0"/>
          <w:cols w:space="720" w:num="1"/>
        </w:sectPr>
      </w:pPr>
    </w:p>
    <w:p>
      <w:pPr>
        <w:spacing w:line="480" w:lineRule="exact"/>
        <w:ind w:firstLine="600" w:firstLineChars="200"/>
        <w:rPr>
          <w:rFonts w:asciiTheme="minorEastAsia" w:hAnsiTheme="minorEastAsia" w:eastAsiaTheme="minorEastAsia"/>
        </w:rPr>
      </w:pPr>
      <w:r>
        <w:rPr>
          <w:rFonts w:asciiTheme="minorEastAsia" w:hAnsiTheme="minorEastAsia" w:eastAsiaTheme="minorEastAsia"/>
        </w:rPr>
        <w:t>格式二：</w:t>
      </w:r>
    </w:p>
    <w:p>
      <w:pPr>
        <w:spacing w:line="480" w:lineRule="exact"/>
        <w:ind w:firstLine="442" w:firstLineChars="200"/>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投标</w:t>
      </w:r>
      <w:r>
        <w:rPr>
          <w:rFonts w:asciiTheme="minorEastAsia" w:hAnsiTheme="minorEastAsia" w:eastAsiaTheme="minorEastAsia"/>
          <w:b/>
          <w:sz w:val="22"/>
          <w:szCs w:val="22"/>
        </w:rPr>
        <w:t>文件目录</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一、投标函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二、开标一览表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三、分项报价明细表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四、适应性政策说明</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五、法定代表人证明书</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六、法定代表人授权书</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七、投标保证金</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八、提供具有独立承担民事责任的能力的证明材料</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九、资格性审查要求的其他资质证明文件</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十、中小企业声明函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十一、监狱企业</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十二、残疾人福利性单位声明函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十三、联合体共同投标协议书</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十四、投标供应商业绩情况表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十五、技术参数响应表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十六、项目实施方案、质量保证及售后服务承诺等</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十七、履约进度计划表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十八、自查表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十九、采购代理服务费支付承诺书</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二十、各类证明材料</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二十一、询问函、质疑函、投诉书格式</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二十二、唱标信封（独立封装）</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二十三、附件</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sectPr>
          <w:footerReference r:id="rId4" w:type="default"/>
          <w:pgSz w:w="11900" w:h="16840"/>
          <w:pgMar w:top="1440" w:right="1644" w:bottom="1276" w:left="1644" w:header="0" w:footer="363" w:gutter="0"/>
          <w:pgNumType w:start="30"/>
          <w:cols w:space="720" w:num="1"/>
        </w:sectPr>
      </w:pP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格式三：</w:t>
      </w:r>
    </w:p>
    <w:p>
      <w:pPr>
        <w:spacing w:line="480" w:lineRule="exact"/>
        <w:ind w:firstLine="442" w:firstLineChars="200"/>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投标</w:t>
      </w:r>
      <w:r>
        <w:rPr>
          <w:rFonts w:asciiTheme="minorEastAsia" w:hAnsiTheme="minorEastAsia" w:eastAsiaTheme="minorEastAsia"/>
          <w:b/>
          <w:sz w:val="22"/>
          <w:szCs w:val="22"/>
        </w:rPr>
        <w:t>函</w:t>
      </w:r>
    </w:p>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致：</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为响应你方组织的</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项目的招标[采购项目编号为：</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]，我方愿参与投标。</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我方确认收到贵方提供的</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项目货物及相关服务的招标文件的全部内容。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(投标供应商名称)作为投标供应商正式授权(授权代表全名, 职务) 代表我方全权处理有关本投标的一切事宜。在此提交的投标文件，正本</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份，副本</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份。</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我方已完全明白招标文件的所有条款要求，并申明如下：</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（一）按招标文件提供的全部货物与相关服务的投标总价详见《开标一览表》。</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（三）我方明白并同意，在规定的开标日之后，投标有效期之内撤回投标或中标后不按规定与采购人签订合同或不提交履约保证金, 则贵方将不予退还投标保证金。</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（四）我方愿意向贵方提供任何与本项报价有关的数据、情况和技术资料。若贵方需要，我方愿意提供我方作出的一切承诺的证明材料。</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（五）我方理解贵方不一定接受最低投标价或任何贵方可能收到的投标。</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（六）我方如果中标，将保证履行招标文件及其澄清、修改文件（如果有）中的全部责任和义务，按质、按量、按期完成《用户需求书》及《合同书》中的全部任务。</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（七）我方作为法律、财务和运作上独立于采购人、采购代理机构的投标供应商，在此保证所提交的所有文件和全部说明是真实的和正确的。</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（九）我方接受采购人委托向贵方支付采购代理费，项目总报价已包含采购代理费，如果被确定为中标供应商，承诺向贵方足额支付。（若采购人支付采购代理费，则此条不适用）</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（十）我方与其他投标供应商不存在单位负责人为同一人或者存在直接控股、管理关系。</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（十一）我方承诺未为本项目提供整体设计、规范编制或者项目管理、监理、检测等服务。</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（十二）我方具备《中华人民共和国政府采购法》第二十二条规定的条件，承诺如下：</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（1）我方参加本项目政府采购活动前3年内在经营活动中没有重大违法记录。</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（2）我方符合法律、行政法规规定的其他条件。</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以上内容如有虚假或与事实不符的，评审委员会可将我方做无效投标处理，我方愿意承担相应的法律责任。</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（十三）我方对在本函及投标文件中所作的所有承诺承担法律责任。</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（十四）所有与本招标有关的函件请发往下列地址：</w:t>
      </w:r>
    </w:p>
    <w:p>
      <w:pPr>
        <w:spacing w:line="480" w:lineRule="exact"/>
        <w:ind w:firstLine="440" w:firstLineChars="200"/>
        <w:jc w:val="lef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地址：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邮政编码：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电话：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传真：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代表姓名： </w:t>
      </w:r>
      <w:r>
        <w:rPr>
          <w:rFonts w:asciiTheme="minorEastAsia" w:hAnsiTheme="minorEastAsia" w:eastAsiaTheme="minorEastAsia"/>
          <w:sz w:val="22"/>
          <w:szCs w:val="22"/>
        </w:rPr>
        <w:tab/>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职务：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投标</w:t>
      </w:r>
      <w:r>
        <w:rPr>
          <w:rFonts w:asciiTheme="minorEastAsia" w:hAnsiTheme="minorEastAsia" w:eastAsiaTheme="minorEastAsia"/>
          <w:sz w:val="22"/>
          <w:szCs w:val="22"/>
        </w:rPr>
        <w:t xml:space="preserve">供应商法定代表人（或法定代表人授权代表）签字或盖章： </w:t>
      </w:r>
    </w:p>
    <w:p>
      <w:pPr>
        <w:spacing w:line="4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供应商名称（盖章）：</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日期： 年 月 日</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格式四：</w:t>
      </w:r>
    </w:p>
    <w:p>
      <w:pPr>
        <w:spacing w:line="480" w:lineRule="exact"/>
        <w:ind w:firstLine="442" w:firstLineChars="200"/>
        <w:jc w:val="center"/>
        <w:rPr>
          <w:rFonts w:asciiTheme="minorEastAsia" w:hAnsiTheme="minorEastAsia" w:eastAsiaTheme="minorEastAsia"/>
          <w:sz w:val="22"/>
          <w:szCs w:val="22"/>
        </w:rPr>
      </w:pPr>
      <w:r>
        <w:rPr>
          <w:rFonts w:hint="eastAsia" w:asciiTheme="minorEastAsia" w:hAnsiTheme="minorEastAsia" w:eastAsiaTheme="minorEastAsia"/>
          <w:b/>
          <w:sz w:val="22"/>
          <w:szCs w:val="22"/>
        </w:rPr>
        <w:t>开标</w:t>
      </w:r>
      <w:r>
        <w:rPr>
          <w:rFonts w:asciiTheme="minorEastAsia" w:hAnsiTheme="minorEastAsia" w:eastAsiaTheme="minorEastAsia"/>
          <w:b/>
          <w:sz w:val="22"/>
          <w:szCs w:val="22"/>
        </w:rPr>
        <w:t>一览表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供应商名称：</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项目名称：</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包号：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项目编号：</w:t>
      </w:r>
    </w:p>
    <w:tbl>
      <w:tblPr>
        <w:tblStyle w:val="43"/>
        <w:tblW w:w="0" w:type="auto"/>
        <w:tblInd w:w="534" w:type="dxa"/>
        <w:tblLayout w:type="autofit"/>
        <w:tblCellMar>
          <w:top w:w="0" w:type="dxa"/>
          <w:left w:w="108" w:type="dxa"/>
          <w:bottom w:w="0" w:type="dxa"/>
          <w:right w:w="108" w:type="dxa"/>
        </w:tblCellMar>
      </w:tblPr>
      <w:tblGrid>
        <w:gridCol w:w="8221"/>
      </w:tblGrid>
      <w:tr>
        <w:tblPrEx>
          <w:tblCellMar>
            <w:top w:w="0" w:type="dxa"/>
            <w:left w:w="108" w:type="dxa"/>
            <w:bottom w:w="0" w:type="dxa"/>
            <w:right w:w="108" w:type="dxa"/>
          </w:tblCellMar>
        </w:tblPrEx>
        <w:tc>
          <w:tcPr>
            <w:tcW w:w="8221" w:type="dxa"/>
          </w:tcPr>
          <w:p>
            <w:pPr>
              <w:spacing w:line="480" w:lineRule="exact"/>
              <w:ind w:firstLine="440"/>
              <w:jc w:val="center"/>
              <w:rPr>
                <w:rFonts w:asciiTheme="minorEastAsia" w:hAnsiTheme="minorEastAsia" w:eastAsiaTheme="minorEastAsia"/>
                <w:sz w:val="22"/>
              </w:rPr>
            </w:pPr>
            <w:r>
              <w:rPr>
                <w:rFonts w:asciiTheme="minorEastAsia" w:hAnsiTheme="minorEastAsia" w:eastAsiaTheme="minorEastAsia"/>
                <w:sz w:val="22"/>
              </w:rPr>
              <w:t>投标总报价（元）</w:t>
            </w:r>
          </w:p>
        </w:tc>
      </w:tr>
      <w:tr>
        <w:tblPrEx>
          <w:tblCellMar>
            <w:top w:w="0" w:type="dxa"/>
            <w:left w:w="108" w:type="dxa"/>
            <w:bottom w:w="0" w:type="dxa"/>
            <w:right w:w="108" w:type="dxa"/>
          </w:tblCellMar>
        </w:tblPrEx>
        <w:tc>
          <w:tcPr>
            <w:tcW w:w="8221" w:type="dxa"/>
          </w:tcPr>
          <w:p>
            <w:pPr>
              <w:spacing w:line="480" w:lineRule="exact"/>
              <w:ind w:firstLine="440"/>
              <w:rPr>
                <w:rFonts w:asciiTheme="minorEastAsia" w:hAnsiTheme="minorEastAsia" w:eastAsiaTheme="minorEastAsia"/>
                <w:sz w:val="22"/>
              </w:rPr>
            </w:pPr>
            <w:r>
              <w:rPr>
                <w:rFonts w:asciiTheme="minorEastAsia" w:hAnsiTheme="minorEastAsia" w:eastAsiaTheme="minorEastAsia"/>
                <w:sz w:val="22"/>
              </w:rPr>
              <w:t>大写：</w:t>
            </w:r>
          </w:p>
        </w:tc>
      </w:tr>
      <w:tr>
        <w:tblPrEx>
          <w:tblCellMar>
            <w:top w:w="0" w:type="dxa"/>
            <w:left w:w="108" w:type="dxa"/>
            <w:bottom w:w="0" w:type="dxa"/>
            <w:right w:w="108" w:type="dxa"/>
          </w:tblCellMar>
        </w:tblPrEx>
        <w:tc>
          <w:tcPr>
            <w:tcW w:w="8221" w:type="dxa"/>
          </w:tcPr>
          <w:p>
            <w:pPr>
              <w:spacing w:line="480" w:lineRule="exact"/>
              <w:ind w:firstLine="440"/>
              <w:rPr>
                <w:rFonts w:asciiTheme="minorEastAsia" w:hAnsiTheme="minorEastAsia" w:eastAsiaTheme="minorEastAsia"/>
                <w:sz w:val="22"/>
              </w:rPr>
            </w:pPr>
            <w:r>
              <w:rPr>
                <w:rFonts w:asciiTheme="minorEastAsia" w:hAnsiTheme="minorEastAsia" w:eastAsiaTheme="minorEastAsia"/>
                <w:sz w:val="22"/>
              </w:rPr>
              <w:t>小写：</w:t>
            </w:r>
          </w:p>
        </w:tc>
      </w:tr>
    </w:tbl>
    <w:p>
      <w:pPr>
        <w:spacing w:line="480" w:lineRule="exac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说明： 1．所有价格均用人民币表示，单位为元。</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2．价格应按照“投标人须知”的要求报价。</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3．格式、内容和签署、盖章必须完整。</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4.本表中所填写内容与投标（响应）文件中内容不一致的，以本表为准。</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法定代表人或授权委托人（签字）：</w:t>
      </w: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加盖公章：</w:t>
      </w: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月</w:t>
      </w:r>
      <w:r>
        <w:rPr>
          <w:rFonts w:asciiTheme="minorEastAsia" w:hAnsiTheme="minorEastAsia" w:eastAsiaTheme="minorEastAsia"/>
          <w:sz w:val="22"/>
          <w:szCs w:val="22"/>
        </w:rPr>
        <w:tab/>
      </w:r>
      <w:r>
        <w:rPr>
          <w:rFonts w:asciiTheme="minorEastAsia" w:hAnsiTheme="minorEastAsia" w:eastAsiaTheme="minorEastAsia"/>
          <w:sz w:val="22"/>
          <w:szCs w:val="22"/>
        </w:rPr>
        <w:t>日</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docGrid w:linePitch="299" w:charSpace="0"/>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格式五：</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分项报价明细表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供应商名称：</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项目名称：</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包号：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项目编号：</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261"/>
        <w:gridCol w:w="1682"/>
        <w:gridCol w:w="992"/>
        <w:gridCol w:w="761"/>
        <w:gridCol w:w="626"/>
        <w:gridCol w:w="626"/>
        <w:gridCol w:w="9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序号</w:t>
            </w:r>
          </w:p>
        </w:tc>
        <w:tc>
          <w:tcPr>
            <w:tcW w:w="1276"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标的名称</w:t>
            </w:r>
          </w:p>
        </w:tc>
        <w:tc>
          <w:tcPr>
            <w:tcW w:w="1699"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品牌、规格型号</w:t>
            </w:r>
            <w:r>
              <w:rPr>
                <w:rFonts w:hint="eastAsia" w:asciiTheme="minorEastAsia" w:hAnsiTheme="minorEastAsia" w:eastAsiaTheme="minorEastAsia"/>
                <w:sz w:val="22"/>
              </w:rPr>
              <w:t>/</w:t>
            </w:r>
            <w:r>
              <w:rPr>
                <w:rFonts w:asciiTheme="minorEastAsia" w:hAnsiTheme="minorEastAsia" w:eastAsiaTheme="minorEastAsia"/>
                <w:sz w:val="22"/>
              </w:rPr>
              <w:t>主要服务内容</w:t>
            </w:r>
          </w:p>
        </w:tc>
        <w:tc>
          <w:tcPr>
            <w:tcW w:w="994" w:type="dxa"/>
            <w:vAlign w:val="center"/>
          </w:tcPr>
          <w:p>
            <w:pPr>
              <w:spacing w:line="480" w:lineRule="exact"/>
              <w:ind w:firstLine="440"/>
              <w:jc w:val="center"/>
              <w:rPr>
                <w:rFonts w:asciiTheme="minorEastAsia" w:hAnsiTheme="minorEastAsia" w:eastAsiaTheme="minorEastAsia"/>
                <w:sz w:val="22"/>
              </w:rPr>
            </w:pPr>
            <w:r>
              <w:rPr>
                <w:rFonts w:asciiTheme="minorEastAsia" w:hAnsiTheme="minorEastAsia" w:eastAsiaTheme="minorEastAsia"/>
                <w:sz w:val="22"/>
              </w:rPr>
              <w:t>制造商名称</w:t>
            </w:r>
          </w:p>
        </w:tc>
        <w:tc>
          <w:tcPr>
            <w:tcW w:w="767"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产地</w:t>
            </w:r>
          </w:p>
        </w:tc>
        <w:tc>
          <w:tcPr>
            <w:tcW w:w="629"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数量</w:t>
            </w:r>
          </w:p>
        </w:tc>
        <w:tc>
          <w:tcPr>
            <w:tcW w:w="629"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单位</w:t>
            </w:r>
          </w:p>
        </w:tc>
        <w:tc>
          <w:tcPr>
            <w:tcW w:w="999"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单价（元）</w:t>
            </w:r>
          </w:p>
        </w:tc>
        <w:tc>
          <w:tcPr>
            <w:tcW w:w="1018" w:type="dxa"/>
            <w:vAlign w:val="center"/>
          </w:tcPr>
          <w:p>
            <w:pPr>
              <w:spacing w:line="480" w:lineRule="exact"/>
              <w:rPr>
                <w:rFonts w:asciiTheme="minorEastAsia" w:hAnsiTheme="minorEastAsia" w:eastAsiaTheme="minorEastAsia"/>
                <w:sz w:val="22"/>
              </w:rPr>
            </w:pPr>
            <w:r>
              <w:rPr>
                <w:rFonts w:asciiTheme="minorEastAsia" w:hAnsiTheme="minorEastAsia" w:eastAsiaTheme="minorEastAsia"/>
                <w:sz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80" w:lineRule="exact"/>
              <w:ind w:firstLine="440"/>
              <w:jc w:val="left"/>
              <w:rPr>
                <w:rFonts w:asciiTheme="minorEastAsia" w:hAnsiTheme="minorEastAsia" w:eastAsiaTheme="minorEastAsia"/>
                <w:sz w:val="22"/>
              </w:rPr>
            </w:pPr>
            <w:r>
              <w:rPr>
                <w:rFonts w:asciiTheme="minorEastAsia" w:hAnsiTheme="minorEastAsia" w:eastAsiaTheme="minorEastAsia"/>
                <w:sz w:val="22"/>
              </w:rPr>
              <w:t>1</w:t>
            </w:r>
          </w:p>
        </w:tc>
        <w:tc>
          <w:tcPr>
            <w:tcW w:w="1276" w:type="dxa"/>
          </w:tcPr>
          <w:p>
            <w:pPr>
              <w:spacing w:line="480" w:lineRule="exact"/>
              <w:ind w:firstLine="440"/>
              <w:jc w:val="left"/>
              <w:rPr>
                <w:rFonts w:asciiTheme="minorEastAsia" w:hAnsiTheme="minorEastAsia" w:eastAsiaTheme="minorEastAsia"/>
                <w:sz w:val="22"/>
              </w:rPr>
            </w:pPr>
          </w:p>
        </w:tc>
        <w:tc>
          <w:tcPr>
            <w:tcW w:w="1699" w:type="dxa"/>
          </w:tcPr>
          <w:p>
            <w:pPr>
              <w:spacing w:line="480" w:lineRule="exact"/>
              <w:ind w:firstLine="440"/>
              <w:jc w:val="center"/>
              <w:rPr>
                <w:rFonts w:asciiTheme="minorEastAsia" w:hAnsiTheme="minorEastAsia" w:eastAsiaTheme="minorEastAsia"/>
                <w:sz w:val="22"/>
              </w:rPr>
            </w:pPr>
          </w:p>
        </w:tc>
        <w:tc>
          <w:tcPr>
            <w:tcW w:w="994" w:type="dxa"/>
          </w:tcPr>
          <w:p>
            <w:pPr>
              <w:spacing w:line="480" w:lineRule="exact"/>
              <w:ind w:firstLine="440"/>
              <w:jc w:val="center"/>
              <w:rPr>
                <w:rFonts w:asciiTheme="minorEastAsia" w:hAnsiTheme="minorEastAsia" w:eastAsiaTheme="minorEastAsia"/>
                <w:sz w:val="22"/>
              </w:rPr>
            </w:pPr>
          </w:p>
        </w:tc>
        <w:tc>
          <w:tcPr>
            <w:tcW w:w="767" w:type="dxa"/>
          </w:tcPr>
          <w:p>
            <w:pPr>
              <w:spacing w:line="480" w:lineRule="exact"/>
              <w:ind w:firstLine="440"/>
              <w:jc w:val="center"/>
              <w:rPr>
                <w:rFonts w:asciiTheme="minorEastAsia" w:hAnsiTheme="minorEastAsia" w:eastAsiaTheme="minorEastAsia"/>
                <w:sz w:val="22"/>
              </w:rPr>
            </w:pPr>
          </w:p>
        </w:tc>
        <w:tc>
          <w:tcPr>
            <w:tcW w:w="629" w:type="dxa"/>
          </w:tcPr>
          <w:p>
            <w:pPr>
              <w:spacing w:line="480" w:lineRule="exact"/>
              <w:ind w:firstLine="440"/>
              <w:jc w:val="center"/>
              <w:rPr>
                <w:rFonts w:asciiTheme="minorEastAsia" w:hAnsiTheme="minorEastAsia" w:eastAsiaTheme="minorEastAsia"/>
                <w:sz w:val="22"/>
              </w:rPr>
            </w:pPr>
          </w:p>
        </w:tc>
        <w:tc>
          <w:tcPr>
            <w:tcW w:w="629" w:type="dxa"/>
          </w:tcPr>
          <w:p>
            <w:pPr>
              <w:spacing w:line="480" w:lineRule="exact"/>
              <w:ind w:firstLine="440"/>
              <w:jc w:val="center"/>
              <w:rPr>
                <w:rFonts w:asciiTheme="minorEastAsia" w:hAnsiTheme="minorEastAsia" w:eastAsiaTheme="minorEastAsia"/>
                <w:sz w:val="22"/>
              </w:rPr>
            </w:pPr>
          </w:p>
        </w:tc>
        <w:tc>
          <w:tcPr>
            <w:tcW w:w="999" w:type="dxa"/>
          </w:tcPr>
          <w:p>
            <w:pPr>
              <w:spacing w:line="480" w:lineRule="exact"/>
              <w:ind w:firstLine="440"/>
              <w:jc w:val="center"/>
              <w:rPr>
                <w:rFonts w:asciiTheme="minorEastAsia" w:hAnsiTheme="minorEastAsia" w:eastAsiaTheme="minorEastAsia"/>
                <w:sz w:val="22"/>
              </w:rPr>
            </w:pPr>
          </w:p>
        </w:tc>
        <w:tc>
          <w:tcPr>
            <w:tcW w:w="1018" w:type="dxa"/>
          </w:tcPr>
          <w:p>
            <w:pPr>
              <w:spacing w:line="480" w:lineRule="exact"/>
              <w:ind w:firstLine="440"/>
              <w:jc w:val="cente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80" w:lineRule="exact"/>
              <w:ind w:firstLine="440"/>
              <w:jc w:val="left"/>
              <w:rPr>
                <w:rFonts w:asciiTheme="minorEastAsia" w:hAnsiTheme="minorEastAsia" w:eastAsiaTheme="minorEastAsia"/>
                <w:sz w:val="22"/>
              </w:rPr>
            </w:pPr>
            <w:r>
              <w:rPr>
                <w:rFonts w:asciiTheme="minorEastAsia" w:hAnsiTheme="minorEastAsia" w:eastAsiaTheme="minorEastAsia"/>
                <w:sz w:val="22"/>
              </w:rPr>
              <w:t>2</w:t>
            </w:r>
          </w:p>
        </w:tc>
        <w:tc>
          <w:tcPr>
            <w:tcW w:w="1276" w:type="dxa"/>
          </w:tcPr>
          <w:p>
            <w:pPr>
              <w:spacing w:line="480" w:lineRule="exact"/>
              <w:ind w:firstLine="440"/>
              <w:jc w:val="left"/>
              <w:rPr>
                <w:rFonts w:asciiTheme="minorEastAsia" w:hAnsiTheme="minorEastAsia" w:eastAsiaTheme="minorEastAsia"/>
                <w:sz w:val="22"/>
              </w:rPr>
            </w:pPr>
          </w:p>
        </w:tc>
        <w:tc>
          <w:tcPr>
            <w:tcW w:w="1699" w:type="dxa"/>
          </w:tcPr>
          <w:p>
            <w:pPr>
              <w:spacing w:line="480" w:lineRule="exact"/>
              <w:ind w:firstLine="440"/>
              <w:jc w:val="center"/>
              <w:rPr>
                <w:rFonts w:asciiTheme="minorEastAsia" w:hAnsiTheme="minorEastAsia" w:eastAsiaTheme="minorEastAsia"/>
                <w:sz w:val="22"/>
              </w:rPr>
            </w:pPr>
          </w:p>
        </w:tc>
        <w:tc>
          <w:tcPr>
            <w:tcW w:w="994" w:type="dxa"/>
          </w:tcPr>
          <w:p>
            <w:pPr>
              <w:spacing w:line="480" w:lineRule="exact"/>
              <w:ind w:firstLine="440"/>
              <w:jc w:val="center"/>
              <w:rPr>
                <w:rFonts w:asciiTheme="minorEastAsia" w:hAnsiTheme="minorEastAsia" w:eastAsiaTheme="minorEastAsia"/>
                <w:sz w:val="22"/>
              </w:rPr>
            </w:pPr>
          </w:p>
        </w:tc>
        <w:tc>
          <w:tcPr>
            <w:tcW w:w="767" w:type="dxa"/>
          </w:tcPr>
          <w:p>
            <w:pPr>
              <w:spacing w:line="480" w:lineRule="exact"/>
              <w:ind w:firstLine="440"/>
              <w:jc w:val="center"/>
              <w:rPr>
                <w:rFonts w:asciiTheme="minorEastAsia" w:hAnsiTheme="minorEastAsia" w:eastAsiaTheme="minorEastAsia"/>
                <w:sz w:val="22"/>
              </w:rPr>
            </w:pPr>
          </w:p>
        </w:tc>
        <w:tc>
          <w:tcPr>
            <w:tcW w:w="629" w:type="dxa"/>
          </w:tcPr>
          <w:p>
            <w:pPr>
              <w:spacing w:line="480" w:lineRule="exact"/>
              <w:ind w:firstLine="440"/>
              <w:jc w:val="center"/>
              <w:rPr>
                <w:rFonts w:asciiTheme="minorEastAsia" w:hAnsiTheme="minorEastAsia" w:eastAsiaTheme="minorEastAsia"/>
                <w:sz w:val="22"/>
              </w:rPr>
            </w:pPr>
          </w:p>
        </w:tc>
        <w:tc>
          <w:tcPr>
            <w:tcW w:w="629" w:type="dxa"/>
          </w:tcPr>
          <w:p>
            <w:pPr>
              <w:spacing w:line="480" w:lineRule="exact"/>
              <w:ind w:firstLine="440"/>
              <w:jc w:val="center"/>
              <w:rPr>
                <w:rFonts w:asciiTheme="minorEastAsia" w:hAnsiTheme="minorEastAsia" w:eastAsiaTheme="minorEastAsia"/>
                <w:sz w:val="22"/>
              </w:rPr>
            </w:pPr>
          </w:p>
        </w:tc>
        <w:tc>
          <w:tcPr>
            <w:tcW w:w="999" w:type="dxa"/>
          </w:tcPr>
          <w:p>
            <w:pPr>
              <w:spacing w:line="480" w:lineRule="exact"/>
              <w:ind w:firstLine="440"/>
              <w:jc w:val="center"/>
              <w:rPr>
                <w:rFonts w:asciiTheme="minorEastAsia" w:hAnsiTheme="minorEastAsia" w:eastAsiaTheme="minorEastAsia"/>
                <w:sz w:val="22"/>
              </w:rPr>
            </w:pPr>
          </w:p>
        </w:tc>
        <w:tc>
          <w:tcPr>
            <w:tcW w:w="1018" w:type="dxa"/>
          </w:tcPr>
          <w:p>
            <w:pPr>
              <w:spacing w:line="480" w:lineRule="exact"/>
              <w:ind w:firstLine="440"/>
              <w:jc w:val="cente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80" w:lineRule="exact"/>
              <w:ind w:firstLine="440"/>
              <w:jc w:val="left"/>
              <w:rPr>
                <w:rFonts w:asciiTheme="minorEastAsia" w:hAnsiTheme="minorEastAsia" w:eastAsiaTheme="minorEastAsia"/>
                <w:sz w:val="22"/>
              </w:rPr>
            </w:pPr>
          </w:p>
        </w:tc>
        <w:tc>
          <w:tcPr>
            <w:tcW w:w="1276" w:type="dxa"/>
          </w:tcPr>
          <w:p>
            <w:pPr>
              <w:spacing w:line="480" w:lineRule="exact"/>
              <w:ind w:firstLine="440"/>
              <w:jc w:val="left"/>
              <w:rPr>
                <w:rFonts w:asciiTheme="minorEastAsia" w:hAnsiTheme="minorEastAsia" w:eastAsiaTheme="minorEastAsia"/>
                <w:sz w:val="22"/>
              </w:rPr>
            </w:pPr>
          </w:p>
        </w:tc>
        <w:tc>
          <w:tcPr>
            <w:tcW w:w="1699" w:type="dxa"/>
          </w:tcPr>
          <w:p>
            <w:pPr>
              <w:spacing w:line="480" w:lineRule="exact"/>
              <w:ind w:firstLine="440"/>
              <w:rPr>
                <w:rFonts w:asciiTheme="minorEastAsia" w:hAnsiTheme="minorEastAsia" w:eastAsiaTheme="minorEastAsia"/>
                <w:sz w:val="22"/>
              </w:rPr>
            </w:pPr>
          </w:p>
        </w:tc>
        <w:tc>
          <w:tcPr>
            <w:tcW w:w="994" w:type="dxa"/>
          </w:tcPr>
          <w:p>
            <w:pPr>
              <w:spacing w:line="480" w:lineRule="exact"/>
              <w:ind w:firstLine="440"/>
              <w:rPr>
                <w:rFonts w:asciiTheme="minorEastAsia" w:hAnsiTheme="minorEastAsia" w:eastAsiaTheme="minorEastAsia"/>
                <w:sz w:val="22"/>
              </w:rPr>
            </w:pPr>
          </w:p>
        </w:tc>
        <w:tc>
          <w:tcPr>
            <w:tcW w:w="767" w:type="dxa"/>
          </w:tcPr>
          <w:p>
            <w:pPr>
              <w:spacing w:line="480" w:lineRule="exact"/>
              <w:ind w:firstLine="440"/>
              <w:rPr>
                <w:rFonts w:asciiTheme="minorEastAsia" w:hAnsiTheme="minorEastAsia" w:eastAsiaTheme="minorEastAsia"/>
                <w:sz w:val="22"/>
              </w:rPr>
            </w:pPr>
          </w:p>
        </w:tc>
        <w:tc>
          <w:tcPr>
            <w:tcW w:w="629" w:type="dxa"/>
          </w:tcPr>
          <w:p>
            <w:pPr>
              <w:spacing w:line="480" w:lineRule="exact"/>
              <w:ind w:firstLine="440"/>
              <w:rPr>
                <w:rFonts w:asciiTheme="minorEastAsia" w:hAnsiTheme="minorEastAsia" w:eastAsiaTheme="minorEastAsia"/>
                <w:sz w:val="22"/>
              </w:rPr>
            </w:pPr>
          </w:p>
        </w:tc>
        <w:tc>
          <w:tcPr>
            <w:tcW w:w="629" w:type="dxa"/>
          </w:tcPr>
          <w:p>
            <w:pPr>
              <w:spacing w:line="480" w:lineRule="exact"/>
              <w:ind w:firstLine="440"/>
              <w:rPr>
                <w:rFonts w:asciiTheme="minorEastAsia" w:hAnsiTheme="minorEastAsia" w:eastAsiaTheme="minorEastAsia"/>
                <w:sz w:val="22"/>
              </w:rPr>
            </w:pPr>
          </w:p>
        </w:tc>
        <w:tc>
          <w:tcPr>
            <w:tcW w:w="999" w:type="dxa"/>
          </w:tcPr>
          <w:p>
            <w:pPr>
              <w:spacing w:line="480" w:lineRule="exact"/>
              <w:ind w:firstLine="440"/>
              <w:rPr>
                <w:rFonts w:asciiTheme="minorEastAsia" w:hAnsiTheme="minorEastAsia" w:eastAsiaTheme="minorEastAsia"/>
                <w:sz w:val="22"/>
              </w:rPr>
            </w:pPr>
          </w:p>
        </w:tc>
        <w:tc>
          <w:tcPr>
            <w:tcW w:w="1018" w:type="dxa"/>
          </w:tcPr>
          <w:p>
            <w:pPr>
              <w:spacing w:line="480" w:lineRule="exact"/>
              <w:ind w:firstLine="440"/>
              <w:rPr>
                <w:rFonts w:asciiTheme="minorEastAsia" w:hAnsiTheme="minorEastAsia" w:eastAsiaTheme="minorEastAsia"/>
                <w:sz w:val="22"/>
              </w:rPr>
            </w:pPr>
          </w:p>
        </w:tc>
      </w:tr>
    </w:tbl>
    <w:p>
      <w:pPr>
        <w:spacing w:line="480" w:lineRule="exac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说明： 1.“标的”为货物的：上述表格应全部填写。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2.“标的”为服务的：如服务内容涉及品牌、规格型号的，上述表格应全部填写；如不涉及品牌、规格型号的，“制造商名称和产地”部分可不填写内容。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3.“标的”为工程的：如不涉及品牌、规格型号的，“制造商名称和产地”部分可不填写内容。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4.如填写内容不符合要求将做无效投标（响应）处理。</w:t>
      </w:r>
    </w:p>
    <w:p>
      <w:pPr>
        <w:spacing w:line="480" w:lineRule="exact"/>
        <w:rPr>
          <w:rFonts w:ascii="宋体" w:hAnsi="宋体" w:eastAsia="宋体"/>
          <w:sz w:val="22"/>
          <w:szCs w:val="22"/>
        </w:rPr>
        <w:sectPr>
          <w:headerReference r:id="rId5" w:type="first"/>
          <w:footerReference r:id="rId7" w:type="first"/>
          <w:footerReference r:id="rId6" w:type="default"/>
          <w:type w:val="nextColumn"/>
          <w:pgSz w:w="11907" w:h="16840"/>
          <w:pgMar w:top="1440" w:right="1644" w:bottom="1276" w:left="1644" w:header="907" w:footer="726" w:gutter="0"/>
          <w:cols w:space="720" w:num="1"/>
          <w:docGrid w:linePitch="408" w:charSpace="0"/>
        </w:sectPr>
      </w:pPr>
    </w:p>
    <w:p>
      <w:pPr>
        <w:spacing w:line="480" w:lineRule="exact"/>
        <w:ind w:firstLine="440" w:firstLineChars="200"/>
        <w:rPr>
          <w:rFonts w:asciiTheme="minorEastAsia" w:hAnsiTheme="minorEastAsia" w:eastAsiaTheme="minorEastAsia"/>
          <w:sz w:val="22"/>
          <w:szCs w:val="22"/>
        </w:rPr>
      </w:pPr>
      <w:bookmarkStart w:id="84" w:name="_Toc51041295"/>
      <w:r>
        <w:rPr>
          <w:rFonts w:asciiTheme="minorEastAsia" w:hAnsiTheme="minorEastAsia" w:eastAsiaTheme="minorEastAsia"/>
          <w:sz w:val="22"/>
          <w:szCs w:val="22"/>
        </w:rPr>
        <w:t>格式六：</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政策适用性说明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按照政府采购有关政策的要求，在本次的技术方案中，采用符合政策的小型或微型企业产品、节能产品、环保标志产品，主要产品与核心技术介绍说明如下：</w:t>
      </w:r>
    </w:p>
    <w:tbl>
      <w:tblPr>
        <w:tblStyle w:val="131"/>
        <w:tblW w:w="9498" w:type="dxa"/>
        <w:tblInd w:w="-41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0" w:type="dxa"/>
          <w:bottom w:w="0" w:type="dxa"/>
          <w:right w:w="0" w:type="dxa"/>
        </w:tblCellMar>
      </w:tblPr>
      <w:tblGrid>
        <w:gridCol w:w="709"/>
        <w:gridCol w:w="2126"/>
        <w:gridCol w:w="1134"/>
        <w:gridCol w:w="1134"/>
        <w:gridCol w:w="993"/>
        <w:gridCol w:w="992"/>
        <w:gridCol w:w="992"/>
        <w:gridCol w:w="1418"/>
      </w:tblGrid>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1861" w:hRule="exact"/>
        </w:trPr>
        <w:tc>
          <w:tcPr>
            <w:tcW w:w="709"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序号</w:t>
            </w:r>
          </w:p>
        </w:tc>
        <w:tc>
          <w:tcPr>
            <w:tcW w:w="2126"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主要产品/技术名称</w:t>
            </w:r>
          </w:p>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（规格型号、注册商标）</w:t>
            </w:r>
          </w:p>
        </w:tc>
        <w:tc>
          <w:tcPr>
            <w:tcW w:w="1134"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制造商(开发商)</w:t>
            </w:r>
          </w:p>
        </w:tc>
        <w:tc>
          <w:tcPr>
            <w:tcW w:w="1134"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制造商企业类型</w:t>
            </w:r>
          </w:p>
        </w:tc>
        <w:tc>
          <w:tcPr>
            <w:tcW w:w="993"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节能产品</w:t>
            </w:r>
          </w:p>
        </w:tc>
        <w:tc>
          <w:tcPr>
            <w:tcW w:w="992"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环保标志产品</w:t>
            </w:r>
          </w:p>
        </w:tc>
        <w:tc>
          <w:tcPr>
            <w:tcW w:w="992"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认证证书编号</w:t>
            </w:r>
          </w:p>
        </w:tc>
        <w:tc>
          <w:tcPr>
            <w:tcW w:w="1418"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该产品报价在总报价中占比（%）</w:t>
            </w: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bl>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注：1.制造商为小型或微型企业时才需要填“制造商企业类型”栏，填写内容为“小型”或“微型”；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2.“节能产品、环保标志产品”须填写认证证书编号，并在对应“节能产品”、“环保标志产品”栏中勾选，同时提供有效期内的证书复印件（加盖</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供应商公章）。</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jc w:val="right"/>
        <w:rPr>
          <w:rFonts w:asciiTheme="minorEastAsia" w:hAnsiTheme="minorEastAsia" w:eastAsiaTheme="minorEastAsia"/>
          <w:sz w:val="22"/>
          <w:szCs w:val="22"/>
        </w:rPr>
      </w:pP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供应商名称（盖章）：</w:t>
      </w:r>
    </w:p>
    <w:p>
      <w:pPr>
        <w:spacing w:line="480" w:lineRule="exact"/>
        <w:ind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日期： 年 月 日</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格式七：</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供应商可使用下述格式，也可使用广东省工商行政管理局统一印制的法定代表人证明书格式）</w:t>
      </w:r>
    </w:p>
    <w:p>
      <w:pPr>
        <w:spacing w:line="480" w:lineRule="exact"/>
        <w:ind w:firstLine="440" w:firstLineChars="200"/>
        <w:rPr>
          <w:rFonts w:asciiTheme="minorEastAsia" w:hAnsiTheme="minorEastAsia" w:eastAsiaTheme="minorEastAsia"/>
          <w:sz w:val="22"/>
          <w:szCs w:val="22"/>
        </w:rPr>
      </w:pP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法定代表人证明书</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现任我单位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职务</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，为法定代表人，特此证明。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有效期限：</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附：代表人性别：</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年龄：</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身份证号码：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注册号码：企业类型：</w:t>
      </w:r>
      <w:r>
        <w:rPr>
          <w:rFonts w:asciiTheme="minorEastAsia" w:hAnsiTheme="minorEastAsia" w:eastAsiaTheme="minorEastAsia"/>
          <w:sz w:val="22"/>
          <w:szCs w:val="22"/>
        </w:rPr>
        <w:tab/>
      </w:r>
      <w:r>
        <w:rPr>
          <w:rFonts w:asciiTheme="minorEastAsia" w:hAnsiTheme="minorEastAsia" w:eastAsiaTheme="minorEastAsia"/>
          <w:sz w:val="22"/>
          <w:szCs w:val="22"/>
        </w:rPr>
        <w:t xml:space="preserve">                           </w:t>
      </w:r>
    </w:p>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经营范围：</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投标</w:t>
      </w:r>
      <w:r>
        <w:rPr>
          <w:rFonts w:asciiTheme="minorEastAsia" w:hAnsiTheme="minorEastAsia" w:eastAsiaTheme="minorEastAsia"/>
          <w:sz w:val="22"/>
          <w:szCs w:val="22"/>
        </w:rPr>
        <w:t>供应商（盖章）：</w:t>
      </w:r>
    </w:p>
    <w:p>
      <w:pPr>
        <w:spacing w:line="480" w:lineRule="exact"/>
        <w:ind w:right="880"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地址：</w:t>
      </w:r>
    </w:p>
    <w:p>
      <w:pPr>
        <w:spacing w:line="480" w:lineRule="exact"/>
        <w:ind w:right="880" w:firstLine="4400" w:firstLineChars="2000"/>
        <w:rPr>
          <w:rFonts w:asciiTheme="minorEastAsia" w:hAnsiTheme="minorEastAsia" w:eastAsiaTheme="minorEastAsia"/>
          <w:sz w:val="22"/>
          <w:szCs w:val="22"/>
        </w:rPr>
      </w:pPr>
      <w:r>
        <w:rPr>
          <w:rFonts w:asciiTheme="minorEastAsia" w:hAnsiTheme="minorEastAsia" w:eastAsiaTheme="minorEastAsia"/>
          <w:sz w:val="22"/>
          <w:szCs w:val="22"/>
        </w:rPr>
        <w:t>法定代表人（签字或盖章）：</w:t>
      </w:r>
    </w:p>
    <w:p>
      <w:pPr>
        <w:spacing w:line="480" w:lineRule="exact"/>
        <w:ind w:right="880"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职务： </w:t>
      </w:r>
    </w:p>
    <w:p>
      <w:pPr>
        <w:spacing w:line="480" w:lineRule="exact"/>
        <w:ind w:right="880" w:firstLine="6600" w:firstLineChars="3000"/>
        <w:rPr>
          <w:rFonts w:asciiTheme="minorEastAsia" w:hAnsiTheme="minorEastAsia" w:eastAsiaTheme="minorEastAsia"/>
          <w:sz w:val="22"/>
          <w:szCs w:val="22"/>
        </w:rPr>
      </w:pPr>
      <w:r>
        <w:rPr>
          <w:rFonts w:asciiTheme="minorEastAsia" w:hAnsiTheme="minorEastAsia" w:eastAsiaTheme="minorEastAsia"/>
          <w:sz w:val="22"/>
          <w:szCs w:val="22"/>
        </w:rPr>
        <w:t>日期：</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tbl>
      <w:tblPr>
        <w:tblStyle w:val="43"/>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法定代表人身份证复印件（正、反面）粘贴处</w:t>
            </w:r>
          </w:p>
        </w:tc>
      </w:tr>
    </w:tbl>
    <w:p>
      <w:pPr>
        <w:spacing w:line="480" w:lineRule="exact"/>
        <w:ind w:firstLine="440" w:firstLineChars="200"/>
        <w:rPr>
          <w:rFonts w:asciiTheme="minorEastAsia" w:hAnsiTheme="minorEastAsia" w:eastAsiaTheme="minorEastAsia"/>
          <w:sz w:val="22"/>
          <w:szCs w:val="22"/>
        </w:rPr>
        <w:sectPr>
          <w:type w:val="nextColumn"/>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格式八：</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法定代表人授权书格式</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对于银行、保险、电信、邮政、铁路等行业以及获得总公司响应授权的分公司，可以提供</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分支机构负责人授权书）</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法定代表人授权书</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致：</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本授权书声明： </w:t>
      </w:r>
      <w:r>
        <w:rPr>
          <w:rFonts w:asciiTheme="minorEastAsia" w:hAnsiTheme="minorEastAsia" w:eastAsiaTheme="minorEastAsia"/>
          <w:sz w:val="22"/>
          <w:szCs w:val="22"/>
        </w:rPr>
        <w:tab/>
      </w:r>
      <w:r>
        <w:rPr>
          <w:rFonts w:asciiTheme="minorEastAsia" w:hAnsiTheme="minorEastAsia" w:eastAsiaTheme="minorEastAsia"/>
          <w:sz w:val="22"/>
          <w:szCs w:val="22"/>
        </w:rPr>
        <w:t>是注册于 （国家或地区） 的 （</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供应商名称） 的法定代表人，现任职务</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，有效证件号码：</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。现授权 （姓名、职务） 作为我公司的全权代理人，就</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项目采购[项目编号为</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]的</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和合同执行，以我方的名义处理一切与之有关的事宜。</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本授权书于年月日签字生效，特此声明。</w:t>
      </w:r>
    </w:p>
    <w:p>
      <w:pPr>
        <w:spacing w:line="4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供应商（盖章）：</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地址：</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法定代表人（签字或盖章）：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职务：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被授权人（签字或盖章）：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职务：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日期：</w:t>
      </w:r>
    </w:p>
    <w:p>
      <w:pPr>
        <w:spacing w:line="480" w:lineRule="exact"/>
        <w:ind w:firstLine="440" w:firstLineChars="200"/>
        <w:rPr>
          <w:rFonts w:asciiTheme="minorEastAsia" w:hAnsiTheme="minorEastAsia" w:eastAsiaTheme="minorEastAsia"/>
          <w:sz w:val="22"/>
          <w:szCs w:val="22"/>
        </w:rPr>
      </w:pPr>
    </w:p>
    <w:tbl>
      <w:tblPr>
        <w:tblStyle w:val="43"/>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仿宋" w:hAnsi="仿宋" w:eastAsia="仿宋"/>
                <w:sz w:val="24"/>
              </w:rPr>
            </w:pPr>
            <w:r>
              <w:rPr>
                <w:rFonts w:hint="eastAsia" w:asciiTheme="minorEastAsia" w:hAnsiTheme="minorEastAsia" w:eastAsiaTheme="minorEastAsia"/>
                <w:sz w:val="22"/>
                <w:szCs w:val="22"/>
              </w:rPr>
              <w:t>授权代表人身份证复印件（正、反面）粘贴处</w:t>
            </w:r>
          </w:p>
        </w:tc>
      </w:tr>
    </w:tbl>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格式九：</w:t>
      </w:r>
    </w:p>
    <w:p>
      <w:pPr>
        <w:spacing w:line="480" w:lineRule="exact"/>
        <w:ind w:firstLine="442" w:firstLineChars="200"/>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投标</w:t>
      </w:r>
      <w:r>
        <w:rPr>
          <w:rFonts w:asciiTheme="minorEastAsia" w:hAnsiTheme="minorEastAsia" w:eastAsiaTheme="minorEastAsia"/>
          <w:b/>
          <w:sz w:val="22"/>
          <w:szCs w:val="22"/>
        </w:rPr>
        <w:t>保证金</w:t>
      </w:r>
    </w:p>
    <w:p>
      <w:pPr>
        <w:spacing w:line="480" w:lineRule="exact"/>
        <w:ind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采购</w:t>
      </w:r>
      <w:r>
        <w:rPr>
          <w:rFonts w:asciiTheme="minorEastAsia" w:hAnsiTheme="minorEastAsia" w:eastAsiaTheme="minorEastAsia"/>
          <w:sz w:val="22"/>
          <w:szCs w:val="22"/>
        </w:rPr>
        <w:t>文件要求递交</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保证金的，</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供应商应在此提供保证金的凭证的复印件。</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w:t>
      </w:r>
    </w:p>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提供具有独立承担民事责任的能力的证明材料</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格式十一：</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资格性审查要求的其他资质证明文件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1、营业执照（或事业法人登记证或身份证等相关证明）副本复印件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2、2019年度财务状况报告或基本开户行出具的资信证明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3、响应截止日前6个月内任意1个月依法缴纳税收和社会保障资金的相关材料（如依法免税或不需要缴纳社会保障资金的，提供相应证明材料）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4、设备及专业技术能力情况表</w:t>
      </w:r>
    </w:p>
    <w:tbl>
      <w:tblPr>
        <w:tblStyle w:val="131"/>
        <w:tblpPr w:leftFromText="180" w:rightFromText="180" w:vertAnchor="page" w:horzAnchor="margin" w:tblpY="5359"/>
        <w:tblW w:w="8505"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08"/>
        <w:gridCol w:w="4005"/>
        <w:gridCol w:w="2389"/>
        <w:gridCol w:w="1403"/>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627" w:hRule="exact"/>
        </w:trPr>
        <w:tc>
          <w:tcPr>
            <w:tcW w:w="8505" w:type="dxa"/>
            <w:gridSpan w:val="4"/>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我单位为本项目实施提供以下设备和专业技术人员：</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4" w:hRule="exact"/>
        </w:trPr>
        <w:tc>
          <w:tcPr>
            <w:tcW w:w="708" w:type="dxa"/>
            <w:shd w:val="clear" w:color="auto" w:fill="auto"/>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序号</w:t>
            </w:r>
          </w:p>
        </w:tc>
        <w:tc>
          <w:tcPr>
            <w:tcW w:w="4005" w:type="dxa"/>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设备名称或专业技术人员</w:t>
            </w:r>
          </w:p>
        </w:tc>
        <w:tc>
          <w:tcPr>
            <w:tcW w:w="2389" w:type="dxa"/>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数量及单位</w:t>
            </w:r>
          </w:p>
        </w:tc>
        <w:tc>
          <w:tcPr>
            <w:tcW w:w="1403" w:type="dxa"/>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备注</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602"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1</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8"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2</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2"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3</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70"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bl>
    <w:p>
      <w:pPr>
        <w:spacing w:line="480" w:lineRule="exact"/>
        <w:ind w:firstLine="440" w:firstLineChars="200"/>
        <w:rPr>
          <w:rFonts w:asciiTheme="minorEastAsia" w:hAnsiTheme="minorEastAsia" w:eastAsiaTheme="minorEastAsia"/>
          <w:sz w:val="22"/>
          <w:szCs w:val="22"/>
        </w:rPr>
        <w:sectPr>
          <w:footerReference r:id="rId8" w:type="default"/>
          <w:pgSz w:w="11900" w:h="16840"/>
          <w:pgMar w:top="1440" w:right="1644" w:bottom="1276" w:left="1644" w:header="0" w:footer="363" w:gutter="0"/>
          <w:pgNumType w:start="4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格式十二：（以下格式文件由供应商根据需要选用）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中小企业声明函（承接本项目服务为中小企业时提交本函，所属行业应符合采购文件中明确的本项目所属行业）</w:t>
      </w:r>
    </w:p>
    <w:p>
      <w:pPr>
        <w:spacing w:line="480" w:lineRule="exact"/>
        <w:ind w:firstLine="442" w:firstLineChars="200"/>
        <w:jc w:val="center"/>
        <w:rPr>
          <w:rFonts w:asciiTheme="minorEastAsia" w:hAnsiTheme="minorEastAsia" w:eastAsiaTheme="minorEastAsia"/>
          <w:sz w:val="22"/>
          <w:szCs w:val="22"/>
        </w:rPr>
      </w:pPr>
      <w:r>
        <w:rPr>
          <w:rFonts w:asciiTheme="minorEastAsia" w:hAnsiTheme="minorEastAsia" w:eastAsiaTheme="minorEastAsia"/>
          <w:b/>
          <w:sz w:val="22"/>
          <w:szCs w:val="22"/>
        </w:rPr>
        <w:t>中小企业声明函（</w:t>
      </w:r>
      <w:r>
        <w:rPr>
          <w:rFonts w:hint="eastAsia" w:asciiTheme="minorEastAsia" w:hAnsiTheme="minorEastAsia" w:eastAsiaTheme="minorEastAsia"/>
          <w:b/>
          <w:sz w:val="22"/>
          <w:szCs w:val="22"/>
        </w:rPr>
        <w:t>货物</w:t>
      </w:r>
      <w:r>
        <w:rPr>
          <w:rFonts w:asciiTheme="minorEastAsia" w:hAnsiTheme="minorEastAsia" w:eastAsiaTheme="minorEastAsia"/>
          <w:b/>
          <w:sz w:val="22"/>
          <w:szCs w:val="22"/>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本公司（联合体）郑重声明，根据《政府采购促进中小企业发展管理办法》（财库﹝2020﹞4 6 号）的规定，本公司（联合体）参加（单位名   称）的（项目名称）采购活动，</w:t>
      </w:r>
      <w:r>
        <w:rPr>
          <w:rFonts w:hint="eastAsia" w:asciiTheme="minorEastAsia" w:hAnsiTheme="minorEastAsia" w:eastAsiaTheme="minorEastAsia"/>
          <w:sz w:val="22"/>
          <w:szCs w:val="22"/>
        </w:rPr>
        <w:t>提供</w:t>
      </w:r>
      <w:r>
        <w:rPr>
          <w:rFonts w:asciiTheme="minorEastAsia" w:hAnsiTheme="minorEastAsia" w:eastAsiaTheme="minorEastAsia"/>
          <w:sz w:val="22"/>
          <w:szCs w:val="22"/>
        </w:rPr>
        <w:t>货物全部由符合政策要求的中小企业承接。相关企业（含联合体中的中小企业、签订分包意向协议的中小企业）的具体情况如下：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（标的名称） ，属于（采购文件中明确的所属行业）； 承建（承接）企业为（企业名称），从业人员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人，营业 收入为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万元，资产总额为 </w:t>
      </w:r>
      <w:r>
        <w:rPr>
          <w:rFonts w:asciiTheme="minorEastAsia" w:hAnsiTheme="minorEastAsia" w:eastAsiaTheme="minorEastAsia"/>
          <w:sz w:val="22"/>
          <w:szCs w:val="22"/>
        </w:rPr>
        <w:tab/>
      </w:r>
      <w:r>
        <w:rPr>
          <w:rFonts w:asciiTheme="minorEastAsia" w:hAnsiTheme="minorEastAsia" w:eastAsiaTheme="minorEastAsia"/>
          <w:sz w:val="22"/>
          <w:szCs w:val="22"/>
        </w:rPr>
        <w:t>万元，属于（中型企业、 小型企业、微型企业）；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（标的名称） ，属于（采购文件中明确的所属行业）； 承建（承接）企业为（企业名称），从业人员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人，营业 收入为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万元，资产总额为 </w:t>
      </w:r>
      <w:r>
        <w:rPr>
          <w:rFonts w:asciiTheme="minorEastAsia" w:hAnsiTheme="minorEastAsia" w:eastAsiaTheme="minorEastAsia"/>
          <w:sz w:val="22"/>
          <w:szCs w:val="22"/>
        </w:rPr>
        <w:tab/>
      </w:r>
      <w:r>
        <w:rPr>
          <w:rFonts w:asciiTheme="minorEastAsia" w:hAnsiTheme="minorEastAsia" w:eastAsiaTheme="minorEastAsia"/>
          <w:sz w:val="22"/>
          <w:szCs w:val="22"/>
        </w:rPr>
        <w:t>万元，属于（中型企业、  小型企业、微型企业）；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以上企业，不属于大企业的分支机构，不存在控股股东为大企业的情形，也不存在与大企业的负责人为同一人的情形。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本企业对上述声明内容的真实性负责。如有虚假，将依法承担相应责任。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企业名称（盖章）：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 期：</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注：</w:t>
      </w:r>
      <w:r>
        <w:rPr>
          <w:rFonts w:hint="eastAsia" w:asciiTheme="minorEastAsia" w:hAnsiTheme="minorEastAsia" w:eastAsiaTheme="minorEastAsia"/>
          <w:sz w:val="22"/>
          <w:szCs w:val="22"/>
        </w:rPr>
        <w:t>1、</w:t>
      </w:r>
      <w:r>
        <w:rPr>
          <w:rFonts w:asciiTheme="minorEastAsia" w:hAnsiTheme="minorEastAsia" w:eastAsiaTheme="minorEastAsia"/>
          <w:sz w:val="22"/>
          <w:szCs w:val="22"/>
        </w:rPr>
        <w:t>从业人员、营业收入、资产总额填报上一年度数据，无上一年度数据的新成立企业可不填报</w:t>
      </w:r>
      <w:r>
        <w:rPr>
          <w:rFonts w:hint="eastAsia"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格式十三：（以下格式文件由供应商根据需要选用）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监狱企业</w:t>
      </w:r>
    </w:p>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提供由监狱管理局、戒毒管理局（含新疆生产建设兵团）出具的属于监狱企业的证明文件。</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格式十四：（以下格式文件由供应商根据需要选用）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残疾人福利性单位声明函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本单位郑重声明，根据《财政部 民政部 中国残疾人联合会关于促进残疾人就业政府采购政策的通知》（财库〔2017〕 141号）的规定，本单位为符合条件的残疾人福利性单位，且本单位参加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单位的 </w:t>
      </w:r>
      <w:r>
        <w:rPr>
          <w:rFonts w:asciiTheme="minorEastAsia" w:hAnsiTheme="minorEastAsia" w:eastAsiaTheme="minorEastAsia"/>
          <w:sz w:val="22"/>
          <w:szCs w:val="22"/>
        </w:rPr>
        <w:tab/>
      </w:r>
      <w:r>
        <w:rPr>
          <w:rFonts w:asciiTheme="minorEastAsia" w:hAnsiTheme="minorEastAsia" w:eastAsiaTheme="minorEastAsia"/>
          <w:sz w:val="22"/>
          <w:szCs w:val="22"/>
        </w:rPr>
        <w:t>项目采购活动提供本单位制造的货物（由本单位承担工程/提供服务），或者提供其他残疾人福利性单位制造的货物（不包括使用非残疾人福利性单位注册商标的货物）。</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本单位对上述声明的真实性负责。如有虚假，将依法承担相应责任。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jc w:val="right"/>
        <w:rPr>
          <w:rFonts w:asciiTheme="minorEastAsia" w:hAnsiTheme="minorEastAsia" w:eastAsiaTheme="minorEastAsia"/>
          <w:sz w:val="22"/>
          <w:szCs w:val="22"/>
        </w:rPr>
      </w:pPr>
      <w:r>
        <w:rPr>
          <w:rFonts w:asciiTheme="minorEastAsia" w:hAnsiTheme="minorEastAsia" w:eastAsiaTheme="minorEastAsia"/>
          <w:sz w:val="22"/>
          <w:szCs w:val="22"/>
        </w:rPr>
        <w:t>单位名称（盖章）：</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日 期：</w:t>
      </w:r>
    </w:p>
    <w:p>
      <w:pPr>
        <w:spacing w:line="480" w:lineRule="exact"/>
        <w:ind w:right="880"/>
        <w:jc w:val="right"/>
        <w:rPr>
          <w:rFonts w:asciiTheme="minorEastAsia" w:hAnsiTheme="minorEastAsia" w:eastAsiaTheme="minorEastAsia"/>
          <w:sz w:val="22"/>
          <w:szCs w:val="22"/>
        </w:rPr>
      </w:pPr>
    </w:p>
    <w:p>
      <w:pPr>
        <w:spacing w:line="480" w:lineRule="exact"/>
        <w:ind w:right="880"/>
        <w:jc w:val="left"/>
        <w:rPr>
          <w:rFonts w:asciiTheme="minorEastAsia" w:hAnsiTheme="minorEastAsia" w:eastAsiaTheme="minorEastAsia"/>
          <w:sz w:val="22"/>
          <w:szCs w:val="22"/>
        </w:rPr>
      </w:pPr>
    </w:p>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注：本函未填写或未勾选视作未做声明。</w:t>
      </w:r>
    </w:p>
    <w:p>
      <w:pPr>
        <w:jc w:val="right"/>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格式十五：（以下格式文件由供应商根据需要选用）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联合体共同</w:t>
      </w:r>
      <w:r>
        <w:rPr>
          <w:rFonts w:hint="eastAsia" w:asciiTheme="minorEastAsia" w:hAnsiTheme="minorEastAsia" w:eastAsiaTheme="minorEastAsia"/>
          <w:b/>
          <w:sz w:val="22"/>
          <w:szCs w:val="22"/>
        </w:rPr>
        <w:t>投标</w:t>
      </w:r>
      <w:r>
        <w:rPr>
          <w:rFonts w:asciiTheme="minorEastAsia" w:hAnsiTheme="minorEastAsia" w:eastAsiaTheme="minorEastAsia"/>
          <w:b/>
          <w:sz w:val="22"/>
          <w:szCs w:val="22"/>
        </w:rPr>
        <w:t>协议书</w:t>
      </w:r>
    </w:p>
    <w:p>
      <w:pPr>
        <w:pStyle w:val="16"/>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立约方：（甲公司全称）</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（乙公司全称）</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（……公司全称）</w:t>
      </w:r>
    </w:p>
    <w:p>
      <w:pPr>
        <w:spacing w:before="213" w:line="252" w:lineRule="exact"/>
        <w:ind w:left="106" w:right="134"/>
        <w:rPr>
          <w:rFonts w:asciiTheme="minorEastAsia" w:hAnsiTheme="minorEastAsia" w:eastAsiaTheme="minorEastAsia"/>
          <w:sz w:val="22"/>
          <w:szCs w:val="22"/>
        </w:rPr>
      </w:pPr>
      <w:r>
        <w:rPr>
          <w:rFonts w:asciiTheme="minorEastAsia" w:hAnsiTheme="minorEastAsia" w:eastAsiaTheme="minorEastAsia"/>
          <w:sz w:val="22"/>
          <w:szCs w:val="22"/>
          <w:u w:val="single"/>
        </w:rPr>
        <w:t>（甲公司全称）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自愿组成联合体，以一个</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供应商的身份共同参加</w:t>
      </w:r>
      <w:r>
        <w:rPr>
          <w:rFonts w:hint="eastAsia" w:asciiTheme="minorEastAsia" w:hAnsiTheme="minorEastAsia" w:eastAsiaTheme="minorEastAsia"/>
          <w:sz w:val="22"/>
          <w:szCs w:val="22"/>
          <w:u w:val="single"/>
        </w:rPr>
        <w:t xml:space="preserve">                                             </w:t>
      </w:r>
      <w:r>
        <w:rPr>
          <w:rFonts w:asciiTheme="minorEastAsia" w:hAnsiTheme="minorEastAsia" w:eastAsiaTheme="minorEastAsia"/>
          <w:w w:val="102"/>
          <w:sz w:val="22"/>
          <w:szCs w:val="22"/>
        </w:rPr>
        <w:t>的响应活动。经各方充分协商一致，就项目的响应和</w:t>
      </w:r>
      <w:r>
        <w:rPr>
          <w:rFonts w:asciiTheme="minorEastAsia" w:hAnsiTheme="minorEastAsia" w:eastAsiaTheme="minorEastAsia"/>
          <w:sz w:val="22"/>
          <w:szCs w:val="22"/>
        </w:rPr>
        <w:t>合同实施阶段的有关事务协商一致订立协议如下：</w:t>
      </w:r>
    </w:p>
    <w:p>
      <w:pPr>
        <w:pStyle w:val="136"/>
        <w:spacing w:before="148"/>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一、联合体各方关系</w:t>
      </w:r>
    </w:p>
    <w:p>
      <w:pPr>
        <w:pStyle w:val="16"/>
        <w:spacing w:before="3"/>
        <w:rPr>
          <w:rFonts w:asciiTheme="minorEastAsia" w:hAnsiTheme="minorEastAsia" w:eastAsiaTheme="minorEastAsia"/>
          <w:sz w:val="22"/>
          <w:szCs w:val="22"/>
        </w:rPr>
      </w:pPr>
    </w:p>
    <w:p>
      <w:pPr>
        <w:spacing w:line="252" w:lineRule="exact"/>
        <w:ind w:left="106" w:right="302"/>
        <w:rPr>
          <w:rFonts w:asciiTheme="minorEastAsia" w:hAnsiTheme="minorEastAsia" w:eastAsiaTheme="minorEastAsia"/>
          <w:sz w:val="22"/>
          <w:szCs w:val="22"/>
        </w:rPr>
      </w:pPr>
      <w:r>
        <w:rPr>
          <w:rFonts w:asciiTheme="minorEastAsia" w:hAnsiTheme="minorEastAsia" w:eastAsiaTheme="minorEastAsia"/>
          <w:sz w:val="22"/>
          <w:szCs w:val="22"/>
          <w:u w:val="single"/>
        </w:rPr>
        <w:t>（甲公司全称）、（乙公司全称）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共同组成一个联合体，以一个响应供应商的身份共同参 加本项目的响应。</w:t>
      </w:r>
      <w:r>
        <w:rPr>
          <w:rFonts w:asciiTheme="minorEastAsia" w:hAnsiTheme="minorEastAsia" w:eastAsiaTheme="minorEastAsia"/>
          <w:sz w:val="22"/>
          <w:szCs w:val="22"/>
          <w:u w:val="single"/>
        </w:rPr>
        <w:t>（甲公司全称）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作为联合体成员，若成交，联合体各 方共同与</w:t>
      </w:r>
      <w:r>
        <w:rPr>
          <w:rFonts w:asciiTheme="minorEastAsia" w:hAnsiTheme="minorEastAsia" w:eastAsiaTheme="minorEastAsia"/>
          <w:sz w:val="22"/>
          <w:szCs w:val="22"/>
          <w:u w:val="single"/>
        </w:rPr>
        <w:t>（采购人）</w:t>
      </w:r>
      <w:r>
        <w:rPr>
          <w:rFonts w:asciiTheme="minorEastAsia" w:hAnsiTheme="minorEastAsia" w:eastAsiaTheme="minorEastAsia"/>
          <w:sz w:val="22"/>
          <w:szCs w:val="22"/>
        </w:rPr>
        <w:t>签订政府采购合同。</w:t>
      </w:r>
    </w:p>
    <w:p>
      <w:pPr>
        <w:spacing w:before="148"/>
        <w:ind w:left="106"/>
        <w:rPr>
          <w:rFonts w:asciiTheme="minorEastAsia" w:hAnsiTheme="minorEastAsia" w:eastAsiaTheme="minorEastAsia"/>
          <w:sz w:val="22"/>
          <w:szCs w:val="22"/>
        </w:rPr>
      </w:pPr>
      <w:r>
        <w:rPr>
          <w:rFonts w:asciiTheme="minorEastAsia" w:hAnsiTheme="minorEastAsia" w:eastAsiaTheme="minorEastAsia"/>
          <w:sz w:val="22"/>
          <w:szCs w:val="22"/>
        </w:rPr>
        <w:t>二、联合体内部有关事项约定如下：</w:t>
      </w:r>
    </w:p>
    <w:p>
      <w:pPr>
        <w:pStyle w:val="106"/>
        <w:numPr>
          <w:ilvl w:val="0"/>
          <w:numId w:val="4"/>
        </w:numPr>
        <w:tabs>
          <w:tab w:val="left" w:pos="311"/>
          <w:tab w:val="left" w:pos="1009"/>
        </w:tabs>
        <w:autoSpaceDE w:val="0"/>
        <w:autoSpaceDN w:val="0"/>
        <w:spacing w:before="169"/>
        <w:ind w:firstLine="0" w:firstLineChars="0"/>
        <w:rPr>
          <w:rFonts w:asciiTheme="minorEastAsia" w:hAnsiTheme="minorEastAsia" w:eastAsiaTheme="minorEastAsia"/>
          <w:sz w:val="22"/>
        </w:rPr>
      </w:pPr>
      <w:r>
        <w:rPr>
          <w:rFonts w:asciiTheme="minorEastAsia" w:hAnsiTheme="minorEastAsia" w:eastAsiaTheme="minorEastAsia"/>
          <w:w w:val="102"/>
          <w:sz w:val="22"/>
          <w:u w:val="single"/>
        </w:rPr>
        <w:t xml:space="preserve"> </w:t>
      </w:r>
      <w:r>
        <w:rPr>
          <w:rFonts w:asciiTheme="minorEastAsia" w:hAnsiTheme="minorEastAsia" w:eastAsiaTheme="minorEastAsia"/>
          <w:sz w:val="22"/>
          <w:u w:val="single"/>
        </w:rPr>
        <w:tab/>
      </w:r>
      <w:r>
        <w:rPr>
          <w:rFonts w:asciiTheme="minorEastAsia" w:hAnsiTheme="minorEastAsia" w:eastAsiaTheme="minorEastAsia"/>
          <w:sz w:val="22"/>
        </w:rPr>
        <w:t>作为联合体的牵头单位，代表联合体双方负责响应和合同实施阶段的主办、协调工作。</w:t>
      </w:r>
    </w:p>
    <w:p>
      <w:pPr>
        <w:pStyle w:val="106"/>
        <w:numPr>
          <w:ilvl w:val="0"/>
          <w:numId w:val="4"/>
        </w:numPr>
        <w:tabs>
          <w:tab w:val="left" w:pos="371"/>
        </w:tabs>
        <w:autoSpaceDE w:val="0"/>
        <w:autoSpaceDN w:val="0"/>
        <w:spacing w:before="213" w:line="252" w:lineRule="exact"/>
        <w:ind w:right="254" w:firstLine="0" w:firstLineChars="0"/>
        <w:jc w:val="left"/>
        <w:rPr>
          <w:rFonts w:asciiTheme="minorEastAsia" w:hAnsiTheme="minorEastAsia" w:eastAsiaTheme="minorEastAsia"/>
          <w:sz w:val="22"/>
        </w:rPr>
      </w:pPr>
      <w:r>
        <w:rPr>
          <w:rFonts w:asciiTheme="minorEastAsia" w:hAnsiTheme="minorEastAsia" w:eastAsiaTheme="minorEastAsia"/>
          <w:sz w:val="22"/>
        </w:rPr>
        <w:t>联合体将严格按照文件的各项要求，递交响应文件，切实执行一切合同文件，共同承担合同规定的一切义务 和责任，同时按照内部职责的划分，承担自身所负的责任和风险，在法律在承担连带责任。</w:t>
      </w:r>
    </w:p>
    <w:p>
      <w:pPr>
        <w:pStyle w:val="106"/>
        <w:numPr>
          <w:ilvl w:val="0"/>
          <w:numId w:val="4"/>
        </w:numPr>
        <w:tabs>
          <w:tab w:val="left" w:pos="371"/>
        </w:tabs>
        <w:autoSpaceDE w:val="0"/>
        <w:autoSpaceDN w:val="0"/>
        <w:spacing w:before="148"/>
        <w:ind w:left="370" w:hanging="264" w:firstLineChars="0"/>
        <w:rPr>
          <w:rFonts w:asciiTheme="minorEastAsia" w:hAnsiTheme="minorEastAsia" w:eastAsiaTheme="minorEastAsia"/>
          <w:sz w:val="22"/>
        </w:rPr>
      </w:pPr>
      <w:r>
        <w:rPr>
          <w:rFonts w:asciiTheme="minorEastAsia" w:hAnsiTheme="minorEastAsia" w:eastAsiaTheme="minorEastAsia"/>
          <w:sz w:val="22"/>
        </w:rPr>
        <w:t>如果本联合体成交，（甲公司全称）负责本项目         部分，（乙公司全称）负责本项目          部分。</w:t>
      </w:r>
    </w:p>
    <w:p>
      <w:pPr>
        <w:spacing w:before="212" w:line="252" w:lineRule="exact"/>
        <w:ind w:left="106" w:right="183"/>
        <w:rPr>
          <w:rFonts w:asciiTheme="minorEastAsia" w:hAnsiTheme="minorEastAsia" w:eastAsiaTheme="minorEastAsia"/>
          <w:sz w:val="22"/>
          <w:szCs w:val="22"/>
        </w:rPr>
      </w:pPr>
      <w:r>
        <w:rPr>
          <w:rFonts w:asciiTheme="minorEastAsia" w:hAnsiTheme="minorEastAsia" w:eastAsiaTheme="minorEastAsia"/>
          <w:w w:val="129"/>
          <w:sz w:val="22"/>
          <w:szCs w:val="22"/>
        </w:rPr>
        <w:t>4</w:t>
      </w:r>
      <w:r>
        <w:rPr>
          <w:rFonts w:asciiTheme="minorEastAsia" w:hAnsiTheme="minorEastAsia" w:eastAsiaTheme="minorEastAsia"/>
          <w:w w:val="64"/>
          <w:sz w:val="22"/>
          <w:szCs w:val="22"/>
        </w:rPr>
        <w:t>.</w:t>
      </w:r>
      <w:r>
        <w:rPr>
          <w:rFonts w:asciiTheme="minorEastAsia" w:hAnsiTheme="minorEastAsia" w:eastAsiaTheme="minorEastAsia"/>
          <w:w w:val="102"/>
          <w:sz w:val="22"/>
          <w:szCs w:val="22"/>
        </w:rPr>
        <w:t>如成交，联合体各方共同与</w:t>
      </w:r>
      <w:r>
        <w:rPr>
          <w:rFonts w:hint="eastAsia" w:asciiTheme="minorEastAsia" w:hAnsiTheme="minorEastAsia" w:eastAsiaTheme="minorEastAsia"/>
          <w:sz w:val="22"/>
          <w:szCs w:val="22"/>
          <w:u w:val="single"/>
        </w:rPr>
        <w:t xml:space="preserve">                            </w:t>
      </w:r>
      <w:r>
        <w:rPr>
          <w:rFonts w:asciiTheme="minorEastAsia" w:hAnsiTheme="minorEastAsia" w:eastAsiaTheme="minorEastAsia"/>
          <w:w w:val="102"/>
          <w:sz w:val="22"/>
          <w:szCs w:val="22"/>
        </w:rPr>
        <w:t>签订合同书，并就成交项目向采购人负责有连带</w:t>
      </w:r>
      <w:r>
        <w:rPr>
          <w:rFonts w:asciiTheme="minorEastAsia" w:hAnsiTheme="minorEastAsia" w:eastAsiaTheme="minorEastAsia"/>
          <w:sz w:val="22"/>
          <w:szCs w:val="22"/>
        </w:rPr>
        <w:t>的和各自的法律责任；</w:t>
      </w:r>
    </w:p>
    <w:p>
      <w:pPr>
        <w:pStyle w:val="106"/>
        <w:tabs>
          <w:tab w:val="left" w:pos="371"/>
        </w:tabs>
        <w:autoSpaceDE w:val="0"/>
        <w:autoSpaceDN w:val="0"/>
        <w:spacing w:before="213" w:line="252" w:lineRule="exact"/>
        <w:ind w:left="106" w:right="254" w:firstLine="0" w:firstLineChars="0"/>
        <w:jc w:val="left"/>
        <w:rPr>
          <w:rFonts w:asciiTheme="minorEastAsia" w:hAnsiTheme="minorEastAsia" w:eastAsiaTheme="minorEastAsia"/>
          <w:sz w:val="22"/>
        </w:rPr>
      </w:pPr>
      <w:r>
        <w:rPr>
          <w:rFonts w:asciiTheme="minorEastAsia" w:hAnsiTheme="minorEastAsia" w:eastAsiaTheme="minorEastAsia"/>
          <w:sz w:val="22"/>
        </w:rPr>
        <w:t>5.联合体成员    （公司全称）</w:t>
      </w:r>
      <w:r>
        <w:rPr>
          <w:rFonts w:asciiTheme="minorEastAsia" w:hAnsiTheme="minorEastAsia" w:eastAsiaTheme="minorEastAsia"/>
          <w:sz w:val="22"/>
        </w:rPr>
        <w:tab/>
      </w:r>
      <w:r>
        <w:rPr>
          <w:rFonts w:asciiTheme="minorEastAsia" w:hAnsiTheme="minorEastAsia" w:eastAsiaTheme="minorEastAsia"/>
          <w:sz w:val="22"/>
        </w:rPr>
        <w:t xml:space="preserve">为（请填写：小型、微型）企业，将承担合同总金额 </w:t>
      </w:r>
      <w:r>
        <w:rPr>
          <w:rFonts w:asciiTheme="minorEastAsia" w:hAnsiTheme="minorEastAsia" w:eastAsiaTheme="minorEastAsia"/>
          <w:sz w:val="22"/>
        </w:rPr>
        <w:tab/>
      </w:r>
      <w:r>
        <w:rPr>
          <w:rFonts w:asciiTheme="minorEastAsia" w:hAnsiTheme="minorEastAsia" w:eastAsiaTheme="minorEastAsia"/>
          <w:sz w:val="22"/>
        </w:rPr>
        <w:t>%的工作内容（联合体成员中有小型、微型企业时适用）。</w:t>
      </w:r>
    </w:p>
    <w:p>
      <w:pPr>
        <w:spacing w:before="191" w:line="252" w:lineRule="exact"/>
        <w:ind w:left="106" w:right="302"/>
        <w:rPr>
          <w:rFonts w:asciiTheme="minorEastAsia" w:hAnsiTheme="minorEastAsia" w:eastAsiaTheme="minorEastAsia"/>
          <w:sz w:val="22"/>
          <w:szCs w:val="22"/>
        </w:rPr>
      </w:pPr>
      <w:r>
        <w:rPr>
          <w:rFonts w:asciiTheme="minorEastAsia" w:hAnsiTheme="minorEastAsia" w:eastAsiaTheme="minorEastAsia"/>
          <w:sz w:val="22"/>
          <w:szCs w:val="22"/>
        </w:rPr>
        <w:t>三、联合体各方不得再以自己名义参与本项目响应，联合体各方不能作为其它联合体或单独响应单位的项目组 成员参加本项目响应。因发生上述问题导致联合体响应成为无效报价，联合体的其他成员可追究其违约责任和 经济损失。</w:t>
      </w:r>
    </w:p>
    <w:p>
      <w:pPr>
        <w:spacing w:before="191" w:line="252" w:lineRule="exact"/>
        <w:ind w:left="106" w:right="505"/>
        <w:rPr>
          <w:rFonts w:asciiTheme="minorEastAsia" w:hAnsiTheme="minorEastAsia" w:eastAsiaTheme="minorEastAsia"/>
          <w:sz w:val="22"/>
          <w:szCs w:val="22"/>
        </w:rPr>
      </w:pPr>
      <w:r>
        <w:rPr>
          <w:rFonts w:asciiTheme="minorEastAsia" w:hAnsiTheme="minorEastAsia" w:eastAsiaTheme="minorEastAsia"/>
          <w:sz w:val="22"/>
          <w:szCs w:val="22"/>
        </w:rPr>
        <w:t>四、联合体如因违约过失责任而导致采购人经济损失或被索赔时，本联合体任何一方均同意无条件优先清偿采 购人的一切债务和经济赔偿。</w:t>
      </w:r>
    </w:p>
    <w:p>
      <w:pPr>
        <w:spacing w:before="147"/>
        <w:ind w:left="106"/>
        <w:rPr>
          <w:rFonts w:asciiTheme="minorEastAsia" w:hAnsiTheme="minorEastAsia" w:eastAsiaTheme="minorEastAsia"/>
          <w:sz w:val="22"/>
          <w:szCs w:val="22"/>
        </w:rPr>
      </w:pPr>
      <w:r>
        <w:rPr>
          <w:rFonts w:asciiTheme="minorEastAsia" w:hAnsiTheme="minorEastAsia" w:eastAsiaTheme="minorEastAsia"/>
          <w:sz w:val="22"/>
          <w:szCs w:val="22"/>
        </w:rPr>
        <w:t>五、本协议在自签署之日起生效，有效期内有效，如获成交资格，合同有效期延续至合同履行完毕之日。</w:t>
      </w:r>
    </w:p>
    <w:p>
      <w:pPr>
        <w:pStyle w:val="16"/>
        <w:spacing w:before="2"/>
        <w:rPr>
          <w:rFonts w:asciiTheme="minorEastAsia" w:hAnsiTheme="minorEastAsia" w:eastAsiaTheme="minorEastAsia"/>
          <w:sz w:val="22"/>
          <w:szCs w:val="22"/>
        </w:rPr>
      </w:pPr>
    </w:p>
    <w:p>
      <w:pPr>
        <w:spacing w:before="1" w:line="252" w:lineRule="exact"/>
        <w:ind w:left="106" w:right="239"/>
        <w:rPr>
          <w:rFonts w:asciiTheme="minorEastAsia" w:hAnsiTheme="minorEastAsia" w:eastAsiaTheme="minorEastAsia"/>
          <w:sz w:val="22"/>
          <w:szCs w:val="22"/>
        </w:rPr>
      </w:pPr>
      <w:r>
        <w:rPr>
          <w:rFonts w:asciiTheme="minorEastAsia" w:hAnsiTheme="minorEastAsia" w:eastAsiaTheme="minorEastAsia"/>
          <w:sz w:val="22"/>
          <w:szCs w:val="22"/>
        </w:rPr>
        <w:pict>
          <v:line id="_x0000_s1052" o:spid="_x0000_s1052" o:spt="20" style="position:absolute;left:0pt;margin-left:141.35pt;margin-top:11.05pt;height:0pt;width:3.6pt;mso-position-horizontal-relative:page;z-index:-251656192;mso-width-relative:page;mso-height-relative:page;" coordsize="21600,21600">
            <v:path arrowok="t"/>
            <v:fill focussize="0,0"/>
            <v:stroke weight="0.600157480314961pt"/>
            <v:imagedata o:title=""/>
            <o:lock v:ext="edit"/>
          </v:line>
        </w:pict>
      </w:r>
      <w:r>
        <w:rPr>
          <w:rFonts w:asciiTheme="minorEastAsia" w:hAnsiTheme="minorEastAsia" w:eastAsiaTheme="minorEastAsia"/>
          <w:sz w:val="22"/>
          <w:szCs w:val="22"/>
        </w:rPr>
        <w:t>六、本协议书正本一式 份，随响应文件装订 份，送采购人  份，联合体成员各一份；副本一式  份，联合体成员各执  份。</w:t>
      </w:r>
    </w:p>
    <w:p>
      <w:pPr>
        <w:pStyle w:val="16"/>
        <w:spacing w:before="3"/>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甲公司全称：（盖章）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乙公司全称：（盖章）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……公司全称（盖章）</w:t>
      </w: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法定代表人：（签字或盖章）法定代表人（签字或盖章）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法定代表人（签字或盖章）</w:t>
      </w:r>
    </w:p>
    <w:p>
      <w:pPr>
        <w:spacing w:before="1"/>
        <w:ind w:left="106"/>
        <w:rPr>
          <w:rFonts w:asciiTheme="minorEastAsia" w:hAnsiTheme="minorEastAsia" w:eastAsiaTheme="minorEastAsia"/>
          <w:sz w:val="22"/>
          <w:szCs w:val="22"/>
        </w:rPr>
      </w:pPr>
      <w:r>
        <w:rPr>
          <w:rFonts w:hint="eastAsia" w:asciiTheme="minorEastAsia" w:hAnsiTheme="minorEastAsia" w:eastAsiaTheme="minorEastAsia"/>
          <w:sz w:val="22"/>
          <w:szCs w:val="22"/>
        </w:rPr>
        <w:t>日期：</w:t>
      </w:r>
    </w:p>
    <w:p>
      <w:pPr>
        <w:spacing w:before="38"/>
        <w:ind w:left="106"/>
        <w:rPr>
          <w:rFonts w:asciiTheme="minorEastAsia" w:hAnsiTheme="minorEastAsia" w:eastAsiaTheme="minorEastAsia"/>
          <w:sz w:val="22"/>
          <w:szCs w:val="22"/>
        </w:rPr>
      </w:pPr>
      <w:r>
        <w:rPr>
          <w:rFonts w:asciiTheme="minorEastAsia" w:hAnsiTheme="minorEastAsia" w:eastAsiaTheme="minorEastAsia"/>
          <w:sz w:val="22"/>
          <w:szCs w:val="22"/>
        </w:rPr>
        <w:t>注：1．联合响应时需签本协议，联合体各方成员应在本协议上共同盖章确认。</w:t>
      </w:r>
    </w:p>
    <w:p>
      <w:pPr>
        <w:spacing w:before="168"/>
        <w:ind w:left="106"/>
        <w:rPr>
          <w:rFonts w:asciiTheme="minorEastAsia" w:hAnsiTheme="minorEastAsia" w:eastAsiaTheme="minorEastAsia"/>
          <w:sz w:val="22"/>
          <w:szCs w:val="22"/>
        </w:rPr>
      </w:pPr>
      <w:r>
        <w:rPr>
          <w:rFonts w:asciiTheme="minorEastAsia" w:hAnsiTheme="minorEastAsia" w:eastAsiaTheme="minorEastAsia"/>
          <w:sz w:val="22"/>
          <w:szCs w:val="22"/>
        </w:rPr>
        <w:t>2．本协议内容不得擅自修改。此协议将作为签订合同的附件之一。</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格式十六：</w:t>
      </w:r>
    </w:p>
    <w:p>
      <w:pPr>
        <w:spacing w:before="4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供应商业绩情况表</w:t>
      </w:r>
    </w:p>
    <w:p>
      <w:pPr>
        <w:pStyle w:val="16"/>
        <w:rPr>
          <w:rFonts w:asciiTheme="minorEastAsia" w:hAnsiTheme="minorEastAsia" w:eastAsiaTheme="minorEastAsia"/>
          <w:sz w:val="22"/>
          <w:szCs w:val="22"/>
        </w:rPr>
      </w:pPr>
    </w:p>
    <w:tbl>
      <w:tblPr>
        <w:tblStyle w:val="131"/>
        <w:tblW w:w="8647" w:type="dxa"/>
        <w:tblInd w:w="8"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09"/>
        <w:gridCol w:w="2843"/>
        <w:gridCol w:w="1977"/>
        <w:gridCol w:w="1559"/>
        <w:gridCol w:w="155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709" w:type="dxa"/>
            <w:shd w:val="clear" w:color="auto" w:fill="auto"/>
          </w:tcPr>
          <w:p>
            <w:pPr>
              <w:pStyle w:val="128"/>
              <w:spacing w:before="7"/>
              <w:rPr>
                <w:rFonts w:asciiTheme="minorEastAsia" w:hAnsiTheme="minorEastAsia" w:eastAsiaTheme="minorEastAsia" w:cstheme="minorBidi"/>
                <w:sz w:val="22"/>
                <w:szCs w:val="22"/>
                <w:lang w:eastAsia="zh-CN"/>
              </w:rPr>
            </w:pPr>
          </w:p>
          <w:p>
            <w:pPr>
              <w:pStyle w:val="128"/>
              <w:ind w:left="130"/>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序号</w:t>
            </w:r>
          </w:p>
        </w:tc>
        <w:tc>
          <w:tcPr>
            <w:tcW w:w="2843"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ind w:left="222"/>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使用单位</w:t>
            </w:r>
          </w:p>
        </w:tc>
        <w:tc>
          <w:tcPr>
            <w:tcW w:w="1977"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ind w:left="222"/>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业绩名称</w:t>
            </w:r>
          </w:p>
        </w:tc>
        <w:tc>
          <w:tcPr>
            <w:tcW w:w="155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ind w:left="396"/>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合同总价</w:t>
            </w:r>
          </w:p>
        </w:tc>
        <w:tc>
          <w:tcPr>
            <w:tcW w:w="155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ind w:left="222"/>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签订时间</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tabs>
                <w:tab w:val="left" w:pos="636"/>
                <w:tab w:val="left" w:pos="1332"/>
              </w:tabs>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02"/>
                <w:sz w:val="22"/>
                <w:szCs w:val="22"/>
                <w:shd w:val="clear" w:color="auto" w:fill="FFFFFF"/>
                <w:lang w:eastAsia="en-US"/>
              </w:rPr>
              <w:t xml:space="preserve"> </w:t>
            </w:r>
            <w:r>
              <w:rPr>
                <w:rFonts w:asciiTheme="minorEastAsia" w:hAnsiTheme="minorEastAsia" w:eastAsiaTheme="minorEastAsia" w:cstheme="minorBidi"/>
                <w:sz w:val="22"/>
                <w:szCs w:val="22"/>
                <w:shd w:val="clear" w:color="auto" w:fill="FFFFFF"/>
                <w:lang w:eastAsia="en-US"/>
              </w:rPr>
              <w:tab/>
            </w:r>
            <w:r>
              <w:rPr>
                <w:rFonts w:asciiTheme="minorEastAsia" w:hAnsiTheme="minorEastAsia" w:eastAsiaTheme="minorEastAsia" w:cstheme="minorBidi"/>
                <w:w w:val="130"/>
                <w:sz w:val="22"/>
                <w:szCs w:val="22"/>
                <w:shd w:val="clear" w:color="auto" w:fill="FFFFFF"/>
                <w:lang w:eastAsia="en-US"/>
              </w:rPr>
              <w:t>1</w:t>
            </w:r>
            <w:r>
              <w:rPr>
                <w:rFonts w:asciiTheme="minorEastAsia" w:hAnsiTheme="minorEastAsia" w:eastAsiaTheme="minorEastAsia" w:cstheme="minorBidi"/>
                <w:sz w:val="22"/>
                <w:szCs w:val="22"/>
                <w:shd w:val="clear" w:color="auto" w:fill="FFFFFF"/>
                <w:lang w:eastAsia="en-US"/>
              </w:rPr>
              <w:tab/>
            </w:r>
          </w:p>
        </w:tc>
        <w:tc>
          <w:tcPr>
            <w:tcW w:w="2843"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50" o:spid="_x0000_s1050" o:spt="203" style="height:18.05pt;width:66.65pt;" coordsize="1333,361">
                  <o:lock v:ext="edit"/>
                  <v:rect id="_x0000_s1051" o:spid="_x0000_s1051"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977"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8" o:spid="_x0000_s1048" o:spt="203" style="height:18.05pt;width:66.65pt;" coordsize="1333,361">
                  <o:lock v:ext="edit"/>
                  <v:rect id="_x0000_s1049" o:spid="_x0000_s1049"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6" o:spid="_x0000_s1046" o:spt="203" style="height:18.05pt;width:66.65pt;" coordsize="1333,361">
                  <o:lock v:ext="edit"/>
                  <v:rect id="_x0000_s1047" o:spid="_x0000_s1047"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4" o:spid="_x0000_s1044" o:spt="203" style="height:18.05pt;width:66.65pt;" coordsize="1333,361">
                  <o:lock v:ext="edit"/>
                  <v:rect id="_x0000_s1045" o:spid="_x0000_s1045"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ind w:left="76"/>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2</w:t>
            </w:r>
          </w:p>
        </w:tc>
        <w:tc>
          <w:tcPr>
            <w:tcW w:w="2843"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977"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tabs>
                <w:tab w:val="left" w:pos="636"/>
                <w:tab w:val="left" w:pos="1332"/>
              </w:tabs>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02"/>
                <w:sz w:val="22"/>
                <w:szCs w:val="22"/>
                <w:shd w:val="clear" w:color="auto" w:fill="FFFFFF"/>
                <w:lang w:eastAsia="en-US"/>
              </w:rPr>
              <w:t xml:space="preserve"> </w:t>
            </w:r>
            <w:r>
              <w:rPr>
                <w:rFonts w:asciiTheme="minorEastAsia" w:hAnsiTheme="minorEastAsia" w:eastAsiaTheme="minorEastAsia" w:cstheme="minorBidi"/>
                <w:sz w:val="22"/>
                <w:szCs w:val="22"/>
                <w:shd w:val="clear" w:color="auto" w:fill="FFFFFF"/>
                <w:lang w:eastAsia="en-US"/>
              </w:rPr>
              <w:tab/>
            </w:r>
            <w:r>
              <w:rPr>
                <w:rFonts w:asciiTheme="minorEastAsia" w:hAnsiTheme="minorEastAsia" w:eastAsiaTheme="minorEastAsia" w:cstheme="minorBidi"/>
                <w:w w:val="130"/>
                <w:sz w:val="22"/>
                <w:szCs w:val="22"/>
                <w:shd w:val="clear" w:color="auto" w:fill="FFFFFF"/>
                <w:lang w:eastAsia="en-US"/>
              </w:rPr>
              <w:t>3</w:t>
            </w:r>
            <w:r>
              <w:rPr>
                <w:rFonts w:asciiTheme="minorEastAsia" w:hAnsiTheme="minorEastAsia" w:eastAsiaTheme="minorEastAsia" w:cstheme="minorBidi"/>
                <w:sz w:val="22"/>
                <w:szCs w:val="22"/>
                <w:shd w:val="clear" w:color="auto" w:fill="FFFFFF"/>
                <w:lang w:eastAsia="en-US"/>
              </w:rPr>
              <w:tab/>
            </w:r>
          </w:p>
        </w:tc>
        <w:tc>
          <w:tcPr>
            <w:tcW w:w="2843"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2" o:spid="_x0000_s1042" o:spt="203" style="height:18.05pt;width:66.65pt;" coordsize="1333,361">
                  <o:lock v:ext="edit"/>
                  <v:rect id="_x0000_s1043" o:spid="_x0000_s1043"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977"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0" o:spid="_x0000_s1040" o:spt="203" style="height:18.05pt;width:66.65pt;" coordsize="1333,361">
                  <o:lock v:ext="edit"/>
                  <v:rect id="_x0000_s1041" o:spid="_x0000_s1041"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8" o:spid="_x0000_s1038" o:spt="203" style="height:18.05pt;width:66.65pt;" coordsize="1333,361">
                  <o:lock v:ext="edit"/>
                  <v:rect id="_x0000_s1039" o:spid="_x0000_s1039"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6" o:spid="_x0000_s1036" o:spt="203" style="height:18.05pt;width:66.65pt;" coordsize="1333,361">
                  <o:lock v:ext="edit"/>
                  <v:rect id="_x0000_s1037" o:spid="_x0000_s1037"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ind w:left="76"/>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4</w:t>
            </w:r>
          </w:p>
        </w:tc>
        <w:tc>
          <w:tcPr>
            <w:tcW w:w="2843"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977"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8"/>
              <w:spacing w:before="7"/>
              <w:rPr>
                <w:rFonts w:asciiTheme="minorEastAsia" w:hAnsiTheme="minorEastAsia" w:eastAsiaTheme="minorEastAsia" w:cstheme="minorBidi"/>
                <w:sz w:val="22"/>
                <w:szCs w:val="22"/>
                <w:lang w:eastAsia="en-US"/>
              </w:rPr>
            </w:pPr>
          </w:p>
          <w:p>
            <w:pPr>
              <w:pStyle w:val="128"/>
              <w:tabs>
                <w:tab w:val="left" w:pos="486"/>
                <w:tab w:val="left" w:pos="1332"/>
              </w:tabs>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02"/>
                <w:sz w:val="22"/>
                <w:szCs w:val="22"/>
                <w:shd w:val="clear" w:color="auto" w:fill="FFFFFF"/>
                <w:lang w:eastAsia="en-US"/>
              </w:rPr>
              <w:t xml:space="preserve"> </w:t>
            </w:r>
            <w:r>
              <w:rPr>
                <w:rFonts w:asciiTheme="minorEastAsia" w:hAnsiTheme="minorEastAsia" w:eastAsiaTheme="minorEastAsia" w:cstheme="minorBidi"/>
                <w:sz w:val="22"/>
                <w:szCs w:val="22"/>
                <w:shd w:val="clear" w:color="auto" w:fill="FFFFFF"/>
                <w:lang w:eastAsia="en-US"/>
              </w:rPr>
              <w:tab/>
            </w:r>
            <w:r>
              <w:rPr>
                <w:rFonts w:asciiTheme="minorEastAsia" w:hAnsiTheme="minorEastAsia" w:eastAsiaTheme="minorEastAsia" w:cstheme="minorBidi"/>
                <w:sz w:val="22"/>
                <w:szCs w:val="22"/>
                <w:shd w:val="clear" w:color="auto" w:fill="FFFFFF"/>
                <w:lang w:eastAsia="en-US"/>
              </w:rPr>
              <w:t>…</w:t>
            </w:r>
            <w:r>
              <w:rPr>
                <w:rFonts w:asciiTheme="minorEastAsia" w:hAnsiTheme="minorEastAsia" w:eastAsiaTheme="minorEastAsia" w:cstheme="minorBidi"/>
                <w:sz w:val="22"/>
                <w:szCs w:val="22"/>
                <w:shd w:val="clear" w:color="auto" w:fill="FFFFFF"/>
                <w:lang w:eastAsia="en-US"/>
              </w:rPr>
              <w:tab/>
            </w:r>
          </w:p>
        </w:tc>
        <w:tc>
          <w:tcPr>
            <w:tcW w:w="2843"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4" o:spid="_x0000_s1034" o:spt="203" style="height:18.05pt;width:66.65pt;" coordsize="1333,361">
                  <o:lock v:ext="edit"/>
                  <v:rect id="_x0000_s1035" o:spid="_x0000_s1035"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977"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2" o:spid="_x0000_s1032" o:spt="203" style="height:18.05pt;width:66.65pt;" coordsize="1333,361">
                  <o:lock v:ext="edit"/>
                  <v:rect id="_x0000_s1033" o:spid="_x0000_s1033"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0" o:spid="_x0000_s1030" o:spt="203" style="height:18.05pt;width:66.65pt;" coordsize="1333,361">
                  <o:lock v:ext="edit"/>
                  <v:rect id="_x0000_s1031" o:spid="_x0000_s1031"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8"/>
              <w:rPr>
                <w:rFonts w:asciiTheme="minorEastAsia" w:hAnsiTheme="minorEastAsia" w:eastAsiaTheme="minorEastAsia" w:cstheme="minorBidi"/>
                <w:sz w:val="22"/>
                <w:szCs w:val="22"/>
                <w:lang w:eastAsia="en-US"/>
              </w:rPr>
            </w:pPr>
          </w:p>
          <w:p>
            <w:pPr>
              <w:pStyle w:val="128"/>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28" o:spid="_x0000_s1028" o:spt="203" style="height:18.05pt;width:66.65pt;" coordsize="1333,361">
                  <o:lock v:ext="edit"/>
                  <v:rect id="_x0000_s1029" o:spid="_x0000_s1029" o:spt="1" style="position:absolute;left:0;top:0;height:360;width:1332;" stroked="f" coordsize="21600,21600">
                    <v:path/>
                    <v:fill focussize="0,0"/>
                    <v:stroke on="f"/>
                    <v:imagedata o:title=""/>
                    <o:lock v:ext="edit"/>
                  </v:rect>
                  <w10:wrap type="none"/>
                  <w10:anchorlock/>
                </v:group>
              </w:pict>
            </w:r>
          </w:p>
          <w:p>
            <w:pPr>
              <w:pStyle w:val="128"/>
              <w:spacing w:before="12"/>
              <w:rPr>
                <w:rFonts w:asciiTheme="minorEastAsia" w:hAnsiTheme="minorEastAsia" w:eastAsiaTheme="minorEastAsia" w:cstheme="minorBidi"/>
                <w:sz w:val="22"/>
                <w:szCs w:val="22"/>
                <w:lang w:eastAsia="en-US"/>
              </w:rPr>
            </w:pPr>
          </w:p>
        </w:tc>
      </w:tr>
    </w:tbl>
    <w:p>
      <w:pPr>
        <w:spacing w:before="151"/>
        <w:ind w:left="106"/>
        <w:rPr>
          <w:rFonts w:asciiTheme="minorEastAsia" w:hAnsiTheme="minorEastAsia" w:eastAsiaTheme="minorEastAsia"/>
          <w:sz w:val="22"/>
          <w:szCs w:val="22"/>
        </w:rPr>
      </w:pPr>
    </w:p>
    <w:p>
      <w:pPr>
        <w:spacing w:before="151"/>
        <w:ind w:left="106"/>
        <w:rPr>
          <w:rFonts w:asciiTheme="minorEastAsia" w:hAnsiTheme="minorEastAsia" w:eastAsiaTheme="minorEastAsia"/>
          <w:sz w:val="22"/>
          <w:szCs w:val="22"/>
        </w:rPr>
      </w:pPr>
      <w:r>
        <w:rPr>
          <w:rFonts w:asciiTheme="minorEastAsia" w:hAnsiTheme="minorEastAsia" w:eastAsiaTheme="minorEastAsia"/>
          <w:sz w:val="22"/>
          <w:szCs w:val="22"/>
        </w:rPr>
        <w:t>根据上述业绩情况，按</w:t>
      </w:r>
      <w:r>
        <w:rPr>
          <w:rFonts w:hint="eastAsia" w:asciiTheme="minorEastAsia" w:hAnsiTheme="minorEastAsia" w:eastAsiaTheme="minorEastAsia"/>
          <w:sz w:val="22"/>
          <w:szCs w:val="22"/>
        </w:rPr>
        <w:t>招标</w:t>
      </w:r>
      <w:r>
        <w:rPr>
          <w:rFonts w:asciiTheme="minorEastAsia" w:hAnsiTheme="minorEastAsia" w:eastAsiaTheme="minorEastAsia"/>
          <w:sz w:val="22"/>
          <w:szCs w:val="22"/>
        </w:rPr>
        <w:t>文件要求附销售或服务合同复印件。</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格式十七</w:t>
      </w:r>
    </w:p>
    <w:p>
      <w:pPr>
        <w:spacing w:before="4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技术参数响应表</w:t>
      </w:r>
    </w:p>
    <w:p>
      <w:pPr>
        <w:spacing w:before="40"/>
        <w:jc w:val="center"/>
        <w:rPr>
          <w:rFonts w:asciiTheme="minorEastAsia" w:hAnsiTheme="minorEastAsia" w:eastAsiaTheme="minorEastAsia"/>
          <w:sz w:val="22"/>
          <w:szCs w:val="22"/>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088"/>
        <w:gridCol w:w="690"/>
        <w:gridCol w:w="1517"/>
        <w:gridCol w:w="1100"/>
        <w:gridCol w:w="790"/>
        <w:gridCol w:w="207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序号</w:t>
            </w:r>
          </w:p>
        </w:tc>
        <w:tc>
          <w:tcPr>
            <w:tcW w:w="1134"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标的名称</w:t>
            </w:r>
          </w:p>
        </w:tc>
        <w:tc>
          <w:tcPr>
            <w:tcW w:w="2255" w:type="dxa"/>
            <w:gridSpan w:val="2"/>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招标技术要求</w:t>
            </w:r>
          </w:p>
        </w:tc>
        <w:tc>
          <w:tcPr>
            <w:tcW w:w="1147"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投标人提供相应内容</w:t>
            </w:r>
          </w:p>
        </w:tc>
        <w:tc>
          <w:tcPr>
            <w:tcW w:w="815"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型号</w:t>
            </w:r>
          </w:p>
        </w:tc>
        <w:tc>
          <w:tcPr>
            <w:tcW w:w="2161" w:type="dxa"/>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偏离程度</w:t>
            </w:r>
          </w:p>
        </w:tc>
        <w:tc>
          <w:tcPr>
            <w:tcW w:w="709"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1</w:t>
            </w: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w:t>
            </w:r>
          </w:p>
        </w:tc>
        <w:tc>
          <w:tcPr>
            <w:tcW w:w="1547" w:type="dxa"/>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1.1</w:t>
            </w: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16"/>
              <w:spacing w:before="10"/>
              <w:ind w:firstLine="440"/>
              <w:rPr>
                <w:rFonts w:asciiTheme="minorEastAsia" w:hAnsiTheme="minorEastAsia" w:eastAsiaTheme="minorEastAsia"/>
                <w:sz w:val="22"/>
              </w:rPr>
            </w:pP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p>
        </w:tc>
        <w:tc>
          <w:tcPr>
            <w:tcW w:w="1547" w:type="dxa"/>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1.2</w:t>
            </w: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16"/>
              <w:spacing w:before="10"/>
              <w:ind w:firstLine="440"/>
              <w:rPr>
                <w:rFonts w:asciiTheme="minorEastAsia" w:hAnsiTheme="minorEastAsia" w:eastAsiaTheme="minorEastAsia"/>
                <w:sz w:val="22"/>
              </w:rPr>
            </w:pP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p>
        </w:tc>
        <w:tc>
          <w:tcPr>
            <w:tcW w:w="1547" w:type="dxa"/>
            <w:vAlign w:val="center"/>
          </w:tcPr>
          <w:p>
            <w:pPr>
              <w:pStyle w:val="16"/>
              <w:spacing w:before="10"/>
              <w:ind w:firstLine="440"/>
              <w:rPr>
                <w:rFonts w:asciiTheme="minorEastAsia" w:hAnsiTheme="minorEastAsia" w:eastAsiaTheme="minorEastAsia"/>
                <w:sz w:val="22"/>
              </w:rPr>
            </w:pPr>
            <w:r>
              <w:rPr>
                <w:rFonts w:asciiTheme="minorEastAsia" w:hAnsiTheme="minorEastAsia" w:eastAsiaTheme="minorEastAsia"/>
                <w:sz w:val="22"/>
              </w:rPr>
              <w:t>……</w:t>
            </w: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2</w:t>
            </w: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r>
              <w:rPr>
                <w:rFonts w:hint="eastAsia" w:asciiTheme="minorEastAsia" w:hAnsiTheme="minorEastAsia" w:eastAsiaTheme="minorEastAsia"/>
                <w:sz w:val="22"/>
              </w:rPr>
              <w:t>★</w:t>
            </w:r>
          </w:p>
        </w:tc>
        <w:tc>
          <w:tcPr>
            <w:tcW w:w="1547" w:type="dxa"/>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2.1</w:t>
            </w: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16"/>
              <w:spacing w:before="10"/>
              <w:ind w:firstLine="440"/>
              <w:rPr>
                <w:rFonts w:asciiTheme="minorEastAsia" w:hAnsiTheme="minorEastAsia" w:eastAsiaTheme="minorEastAsia"/>
                <w:sz w:val="22"/>
              </w:rPr>
            </w:pP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p>
        </w:tc>
        <w:tc>
          <w:tcPr>
            <w:tcW w:w="1547" w:type="dxa"/>
            <w:vAlign w:val="center"/>
          </w:tcPr>
          <w:p>
            <w:pPr>
              <w:pStyle w:val="16"/>
              <w:spacing w:before="10"/>
              <w:ind w:firstLine="440"/>
              <w:rPr>
                <w:rFonts w:asciiTheme="minorEastAsia" w:hAnsiTheme="minorEastAsia" w:eastAsiaTheme="minorEastAsia"/>
                <w:sz w:val="22"/>
              </w:rPr>
            </w:pPr>
            <w:r>
              <w:rPr>
                <w:rFonts w:hint="eastAsia" w:asciiTheme="minorEastAsia" w:hAnsiTheme="minorEastAsia" w:eastAsiaTheme="minorEastAsia"/>
                <w:sz w:val="22"/>
              </w:rPr>
              <w:t>2.2</w:t>
            </w: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16"/>
              <w:spacing w:before="10"/>
              <w:ind w:firstLine="440"/>
              <w:rPr>
                <w:rFonts w:asciiTheme="minorEastAsia" w:hAnsiTheme="minorEastAsia" w:eastAsiaTheme="minorEastAsia"/>
                <w:sz w:val="22"/>
              </w:rPr>
            </w:pP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p>
        </w:tc>
        <w:tc>
          <w:tcPr>
            <w:tcW w:w="1547" w:type="dxa"/>
            <w:vAlign w:val="center"/>
          </w:tcPr>
          <w:p>
            <w:pPr>
              <w:pStyle w:val="16"/>
              <w:spacing w:before="10"/>
              <w:ind w:firstLine="440"/>
              <w:rPr>
                <w:rFonts w:asciiTheme="minorEastAsia" w:hAnsiTheme="minorEastAsia" w:eastAsiaTheme="minorEastAsia"/>
                <w:sz w:val="22"/>
              </w:rPr>
            </w:pPr>
            <w:r>
              <w:rPr>
                <w:rFonts w:asciiTheme="minorEastAsia" w:hAnsiTheme="minorEastAsia" w:eastAsiaTheme="minorEastAsia"/>
                <w:sz w:val="22"/>
              </w:rPr>
              <w:t>……</w:t>
            </w: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16"/>
              <w:spacing w:before="10"/>
              <w:ind w:firstLine="440"/>
              <w:rPr>
                <w:rFonts w:asciiTheme="minorEastAsia" w:hAnsiTheme="minorEastAsia" w:eastAsiaTheme="minorEastAsia"/>
                <w:sz w:val="22"/>
              </w:rPr>
            </w:pPr>
            <w:r>
              <w:rPr>
                <w:rFonts w:asciiTheme="minorEastAsia" w:hAnsiTheme="minorEastAsia" w:eastAsiaTheme="minorEastAsia"/>
                <w:sz w:val="22"/>
              </w:rPr>
              <w:t>…</w:t>
            </w:r>
          </w:p>
        </w:tc>
        <w:tc>
          <w:tcPr>
            <w:tcW w:w="1134" w:type="dxa"/>
            <w:vAlign w:val="center"/>
          </w:tcPr>
          <w:p>
            <w:pPr>
              <w:pStyle w:val="16"/>
              <w:spacing w:before="10"/>
              <w:ind w:firstLine="440"/>
              <w:rPr>
                <w:rFonts w:asciiTheme="minorEastAsia" w:hAnsiTheme="minorEastAsia" w:eastAsiaTheme="minorEastAsia"/>
                <w:sz w:val="22"/>
              </w:rPr>
            </w:pPr>
          </w:p>
        </w:tc>
        <w:tc>
          <w:tcPr>
            <w:tcW w:w="708" w:type="dxa"/>
            <w:vAlign w:val="center"/>
          </w:tcPr>
          <w:p>
            <w:pPr>
              <w:pStyle w:val="16"/>
              <w:spacing w:before="10"/>
              <w:rPr>
                <w:rFonts w:asciiTheme="minorEastAsia" w:hAnsiTheme="minorEastAsia" w:eastAsiaTheme="minorEastAsia"/>
                <w:sz w:val="22"/>
              </w:rPr>
            </w:pPr>
          </w:p>
        </w:tc>
        <w:tc>
          <w:tcPr>
            <w:tcW w:w="1547" w:type="dxa"/>
            <w:vAlign w:val="center"/>
          </w:tcPr>
          <w:p>
            <w:pPr>
              <w:pStyle w:val="16"/>
              <w:spacing w:before="10"/>
              <w:ind w:firstLine="440"/>
              <w:rPr>
                <w:rFonts w:asciiTheme="minorEastAsia" w:hAnsiTheme="minorEastAsia" w:eastAsiaTheme="minorEastAsia"/>
                <w:sz w:val="22"/>
              </w:rPr>
            </w:pPr>
          </w:p>
        </w:tc>
        <w:tc>
          <w:tcPr>
            <w:tcW w:w="1147" w:type="dxa"/>
            <w:vAlign w:val="center"/>
          </w:tcPr>
          <w:p>
            <w:pPr>
              <w:pStyle w:val="16"/>
              <w:spacing w:before="10"/>
              <w:ind w:firstLine="440"/>
              <w:rPr>
                <w:rFonts w:asciiTheme="minorEastAsia" w:hAnsiTheme="minorEastAsia" w:eastAsiaTheme="minorEastAsia"/>
                <w:sz w:val="22"/>
              </w:rPr>
            </w:pPr>
          </w:p>
        </w:tc>
        <w:tc>
          <w:tcPr>
            <w:tcW w:w="815" w:type="dxa"/>
            <w:vAlign w:val="center"/>
          </w:tcPr>
          <w:p>
            <w:pPr>
              <w:pStyle w:val="16"/>
              <w:spacing w:before="10"/>
              <w:ind w:firstLine="440"/>
              <w:rPr>
                <w:rFonts w:asciiTheme="minorEastAsia" w:hAnsiTheme="minorEastAsia" w:eastAsiaTheme="minorEastAsia"/>
                <w:sz w:val="22"/>
              </w:rPr>
            </w:pPr>
          </w:p>
        </w:tc>
        <w:tc>
          <w:tcPr>
            <w:tcW w:w="2161" w:type="dxa"/>
            <w:vAlign w:val="center"/>
          </w:tcPr>
          <w:p>
            <w:pPr>
              <w:pStyle w:val="16"/>
              <w:spacing w:before="10"/>
              <w:ind w:firstLine="440"/>
              <w:rPr>
                <w:rFonts w:asciiTheme="minorEastAsia" w:hAnsiTheme="minorEastAsia" w:eastAsiaTheme="minorEastAsia"/>
                <w:sz w:val="22"/>
              </w:rPr>
            </w:pPr>
          </w:p>
        </w:tc>
        <w:tc>
          <w:tcPr>
            <w:tcW w:w="709" w:type="dxa"/>
            <w:vAlign w:val="center"/>
          </w:tcPr>
          <w:p>
            <w:pPr>
              <w:pStyle w:val="16"/>
              <w:spacing w:before="10"/>
              <w:ind w:firstLine="440"/>
              <w:rPr>
                <w:rFonts w:asciiTheme="minorEastAsia" w:hAnsiTheme="minorEastAsia" w:eastAsiaTheme="minorEastAsia"/>
                <w:sz w:val="22"/>
              </w:rPr>
            </w:pPr>
          </w:p>
        </w:tc>
      </w:tr>
    </w:tbl>
    <w:p>
      <w:pPr>
        <w:pStyle w:val="16"/>
        <w:spacing w:before="10"/>
        <w:rPr>
          <w:rFonts w:asciiTheme="minorEastAsia" w:hAnsiTheme="minorEastAsia" w:eastAsiaTheme="minorEastAsia"/>
          <w:sz w:val="22"/>
          <w:szCs w:val="22"/>
        </w:rPr>
      </w:pPr>
    </w:p>
    <w:p>
      <w:pPr>
        <w:spacing w:before="151"/>
        <w:ind w:left="106"/>
        <w:rPr>
          <w:rFonts w:asciiTheme="minorEastAsia" w:hAnsiTheme="minorEastAsia" w:eastAsiaTheme="minorEastAsia"/>
          <w:sz w:val="22"/>
          <w:szCs w:val="22"/>
        </w:rPr>
      </w:pPr>
      <w:r>
        <w:rPr>
          <w:rFonts w:asciiTheme="minorEastAsia" w:hAnsiTheme="minorEastAsia" w:eastAsiaTheme="minorEastAsia"/>
          <w:sz w:val="22"/>
          <w:szCs w:val="22"/>
        </w:rPr>
        <w:t>说明：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投标供应商应当如实填写上表“投标供应商提供响应内容”处内容，对招标文件提出的要求和条件作出明确响应，并列明具体响应数值或内容，只注明符合、满足等无具体内容表述的，将视为未实质性满足招标文件要求。</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2.“备注”处可填写偏离情况的具体说明。</w:t>
      </w: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八</w:t>
      </w:r>
    </w:p>
    <w:p>
      <w:pPr>
        <w:spacing w:before="40"/>
        <w:ind w:left="212" w:right="216"/>
        <w:jc w:val="center"/>
        <w:rPr>
          <w:rFonts w:asciiTheme="minorEastAsia" w:hAnsiTheme="minorEastAsia" w:eastAsiaTheme="minorEastAsia"/>
          <w:sz w:val="22"/>
          <w:szCs w:val="22"/>
        </w:rPr>
      </w:pPr>
    </w:p>
    <w:p>
      <w:pPr>
        <w:spacing w:before="40"/>
        <w:ind w:left="212" w:right="216"/>
        <w:jc w:val="center"/>
        <w:rPr>
          <w:rFonts w:asciiTheme="minorEastAsia" w:hAnsiTheme="minorEastAsia" w:eastAsiaTheme="minorEastAsia"/>
          <w:sz w:val="22"/>
          <w:szCs w:val="22"/>
        </w:rPr>
      </w:pPr>
      <w:r>
        <w:rPr>
          <w:rFonts w:asciiTheme="minorEastAsia" w:hAnsiTheme="minorEastAsia" w:eastAsiaTheme="minorEastAsia"/>
          <w:sz w:val="22"/>
          <w:szCs w:val="22"/>
        </w:rPr>
        <w:t>自查表</w:t>
      </w:r>
    </w:p>
    <w:p>
      <w:pPr>
        <w:pStyle w:val="16"/>
        <w:spacing w:before="13"/>
        <w:rPr>
          <w:rFonts w:asciiTheme="minorEastAsia" w:hAnsiTheme="minorEastAsia" w:eastAsiaTheme="minorEastAsia"/>
          <w:sz w:val="22"/>
          <w:szCs w:val="22"/>
        </w:rPr>
      </w:pPr>
    </w:p>
    <w:p>
      <w:pPr>
        <w:pStyle w:val="106"/>
        <w:numPr>
          <w:ilvl w:val="1"/>
          <w:numId w:val="5"/>
        </w:numPr>
        <w:tabs>
          <w:tab w:val="left" w:pos="497"/>
        </w:tabs>
        <w:autoSpaceDE w:val="0"/>
        <w:autoSpaceDN w:val="0"/>
        <w:spacing w:line="356" w:lineRule="exact"/>
        <w:ind w:hanging="390" w:firstLineChars="0"/>
        <w:jc w:val="left"/>
        <w:rPr>
          <w:rFonts w:asciiTheme="minorEastAsia" w:hAnsiTheme="minorEastAsia" w:eastAsiaTheme="minorEastAsia"/>
          <w:sz w:val="22"/>
        </w:rPr>
      </w:pPr>
      <w:r>
        <w:rPr>
          <w:rFonts w:asciiTheme="minorEastAsia" w:hAnsiTheme="minorEastAsia" w:eastAsiaTheme="minorEastAsia"/>
          <w:spacing w:val="14"/>
          <w:sz w:val="22"/>
        </w:rPr>
        <w:t>资格性</w:t>
      </w:r>
      <w:r>
        <w:rPr>
          <w:rFonts w:hint="eastAsia" w:asciiTheme="minorEastAsia" w:hAnsiTheme="minorEastAsia" w:eastAsiaTheme="minorEastAsia"/>
          <w:b/>
          <w:sz w:val="22"/>
        </w:rPr>
        <w:t>/</w:t>
      </w:r>
      <w:r>
        <w:rPr>
          <w:rFonts w:asciiTheme="minorEastAsia" w:hAnsiTheme="minorEastAsia" w:eastAsiaTheme="minorEastAsia"/>
          <w:spacing w:val="10"/>
          <w:sz w:val="22"/>
        </w:rPr>
        <w:t>符合性自查表</w:t>
      </w:r>
    </w:p>
    <w:p>
      <w:pPr>
        <w:tabs>
          <w:tab w:val="left" w:pos="497"/>
        </w:tabs>
        <w:autoSpaceDE w:val="0"/>
        <w:autoSpaceDN w:val="0"/>
        <w:spacing w:line="356" w:lineRule="exact"/>
        <w:ind w:left="106"/>
        <w:jc w:val="left"/>
        <w:rPr>
          <w:rFonts w:asciiTheme="minorEastAsia" w:hAnsiTheme="minorEastAsia" w:eastAsiaTheme="minorEastAsia"/>
          <w:spacing w:val="10"/>
          <w:sz w:val="22"/>
        </w:rPr>
      </w:pPr>
      <w:r>
        <w:rPr>
          <w:rFonts w:asciiTheme="minorEastAsia" w:hAnsiTheme="minorEastAsia" w:eastAsiaTheme="minorEastAsia"/>
          <w:spacing w:val="10"/>
          <w:sz w:val="22"/>
        </w:rPr>
        <w:t>包1(</w:t>
      </w:r>
      <w:r>
        <w:rPr>
          <w:rFonts w:hint="eastAsia" w:asciiTheme="minorEastAsia" w:hAnsiTheme="minorEastAsia" w:eastAsiaTheme="minorEastAsia"/>
          <w:spacing w:val="10"/>
          <w:sz w:val="22"/>
        </w:rPr>
        <w:t xml:space="preserve">                                  </w:t>
      </w:r>
      <w:r>
        <w:rPr>
          <w:rFonts w:asciiTheme="minorEastAsia" w:hAnsiTheme="minorEastAsia" w:eastAsiaTheme="minorEastAsia"/>
          <w:spacing w:val="10"/>
          <w:sz w:val="22"/>
        </w:rPr>
        <w:t>):</w:t>
      </w:r>
    </w:p>
    <w:p>
      <w:pPr>
        <w:pStyle w:val="16"/>
        <w:spacing w:before="203" w:line="405" w:lineRule="auto"/>
        <w:ind w:left="106" w:right="5564"/>
        <w:rPr>
          <w:rFonts w:asciiTheme="minorEastAsia" w:hAnsiTheme="minorEastAsia" w:eastAsiaTheme="minorEastAsia"/>
          <w:sz w:val="22"/>
          <w:szCs w:val="22"/>
        </w:rPr>
      </w:pPr>
      <w:r>
        <w:rPr>
          <w:rFonts w:asciiTheme="minorEastAsia" w:hAnsiTheme="minorEastAsia" w:eastAsiaTheme="minorEastAsia"/>
          <w:sz w:val="22"/>
          <w:szCs w:val="22"/>
        </w:rPr>
        <w:t>资格性审查表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具有独立承担民事责任的能力</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在中华人民共和国境内注册的法人或其他组织或自然人，投标时提交有效的营业执照（或事业法人登记证或身份证等相关证明）副本复印件。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有依法缴纳税收和社会保障资金的良好记录</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具有良好的商业信誉和健全的财务会计制度</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供应商必须具有良好的商业信誉和健全的财务会计制度（提供2019年度财务状况报告或基本开户行出具的资信证明）。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履行合同所必须的设备和专业技术能力</w:t>
            </w:r>
          </w:p>
        </w:tc>
        <w:tc>
          <w:tcPr>
            <w:tcW w:w="6877" w:type="dxa"/>
            <w:vAlign w:val="center"/>
          </w:tcPr>
          <w:p>
            <w:pPr>
              <w:pStyle w:val="128"/>
              <w:spacing w:before="1"/>
              <w:ind w:left="60" w:right="71" w:firstLine="400"/>
              <w:jc w:val="both"/>
              <w:rPr>
                <w:sz w:val="20"/>
                <w:szCs w:val="20"/>
              </w:rPr>
            </w:pPr>
            <w:r>
              <w:rPr>
                <w:sz w:val="20"/>
                <w:szCs w:val="20"/>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p>
          <w:p>
            <w:pPr>
              <w:pStyle w:val="128"/>
              <w:spacing w:before="18" w:line="348" w:lineRule="auto"/>
              <w:ind w:left="60" w:right="71" w:firstLine="400"/>
              <w:jc w:val="both"/>
              <w:rPr>
                <w:sz w:val="20"/>
                <w:szCs w:val="20"/>
              </w:rPr>
            </w:pPr>
            <w:r>
              <w:rPr>
                <w:sz w:val="20"/>
                <w:szCs w:val="20"/>
              </w:rPr>
              <w:t>参加采购活动前3年内，在经营活动中没有重大违法记录</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p>
          <w:p>
            <w:pPr>
              <w:pStyle w:val="128"/>
              <w:spacing w:before="18" w:line="348" w:lineRule="auto"/>
              <w:ind w:left="60" w:right="71" w:firstLine="400"/>
              <w:jc w:val="both"/>
              <w:rPr>
                <w:sz w:val="20"/>
                <w:szCs w:val="20"/>
              </w:rPr>
            </w:pPr>
          </w:p>
          <w:p>
            <w:pPr>
              <w:pStyle w:val="128"/>
              <w:spacing w:before="18" w:line="348" w:lineRule="auto"/>
              <w:ind w:left="60" w:right="71" w:firstLine="400"/>
              <w:jc w:val="both"/>
              <w:rPr>
                <w:sz w:val="20"/>
                <w:szCs w:val="20"/>
              </w:rPr>
            </w:pPr>
            <w:r>
              <w:rPr>
                <w:sz w:val="20"/>
                <w:szCs w:val="20"/>
              </w:rPr>
              <w:t>信用记录</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firstLine="400"/>
              <w:jc w:val="both"/>
              <w:rPr>
                <w:sz w:val="20"/>
                <w:szCs w:val="20"/>
              </w:rPr>
            </w:pPr>
            <w:r>
              <w:rPr>
                <w:sz w:val="20"/>
                <w:szCs w:val="20"/>
              </w:rPr>
              <w:t>供应商必须符合法律、行政法规规定的其他条件</w:t>
            </w:r>
          </w:p>
        </w:tc>
        <w:tc>
          <w:tcPr>
            <w:tcW w:w="6877" w:type="dxa"/>
            <w:vAlign w:val="center"/>
          </w:tcPr>
          <w:p>
            <w:pPr>
              <w:pStyle w:val="128"/>
              <w:spacing w:before="18" w:line="348" w:lineRule="auto"/>
              <w:ind w:left="60" w:right="71" w:firstLine="440"/>
              <w:jc w:val="both"/>
              <w:rPr>
                <w:sz w:val="20"/>
                <w:szCs w:val="20"/>
              </w:rPr>
            </w:pPr>
            <w:r>
              <w:rPr>
                <w:rFonts w:hAnsi="宋体"/>
                <w:kern w:val="2"/>
                <w:sz w:val="22"/>
                <w:szCs w:val="22"/>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right="71"/>
              <w:jc w:val="both"/>
              <w:rPr>
                <w:sz w:val="20"/>
                <w:szCs w:val="20"/>
              </w:rPr>
            </w:pPr>
            <w:r>
              <w:rPr>
                <w:sz w:val="20"/>
                <w:szCs w:val="20"/>
              </w:rPr>
              <w:t>特定资格要求</w:t>
            </w:r>
          </w:p>
        </w:tc>
        <w:tc>
          <w:tcPr>
            <w:tcW w:w="6877" w:type="dxa"/>
            <w:vAlign w:val="center"/>
          </w:tcPr>
          <w:p>
            <w:pPr>
              <w:pStyle w:val="128"/>
              <w:spacing w:before="18" w:line="348" w:lineRule="auto"/>
              <w:ind w:right="71"/>
              <w:jc w:val="both"/>
              <w:rPr>
                <w:sz w:val="20"/>
                <w:szCs w:val="20"/>
              </w:rPr>
            </w:pPr>
            <w:r>
              <w:rPr>
                <w:rFonts w:hAnsi="宋体"/>
                <w:kern w:val="2"/>
                <w:sz w:val="22"/>
                <w:szCs w:val="22"/>
              </w:rPr>
              <w:t>不接受联合体投标</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jc w:val="both"/>
              <w:rPr>
                <w:sz w:val="20"/>
                <w:szCs w:val="20"/>
              </w:rPr>
            </w:pPr>
            <w:r>
              <w:rPr>
                <w:rFonts w:hAnsi="宋体"/>
                <w:kern w:val="2"/>
                <w:sz w:val="22"/>
                <w:szCs w:val="22"/>
              </w:rPr>
              <w:t>特定资格要求</w:t>
            </w:r>
          </w:p>
        </w:tc>
        <w:tc>
          <w:tcPr>
            <w:tcW w:w="6877" w:type="dxa"/>
            <w:vAlign w:val="center"/>
          </w:tcPr>
          <w:p>
            <w:pPr>
              <w:pStyle w:val="128"/>
              <w:spacing w:before="18" w:line="348" w:lineRule="auto"/>
              <w:ind w:right="71"/>
              <w:jc w:val="both"/>
              <w:rPr>
                <w:rFonts w:hAnsi="宋体"/>
                <w:kern w:val="2"/>
                <w:sz w:val="22"/>
                <w:szCs w:val="22"/>
              </w:rPr>
            </w:pPr>
            <w:r>
              <w:rPr>
                <w:rFonts w:hint="eastAsia" w:hAnsi="宋体"/>
                <w:kern w:val="2"/>
                <w:sz w:val="22"/>
                <w:szCs w:val="22"/>
              </w:rPr>
              <w:t>无</w:t>
            </w:r>
            <w:r>
              <w:rPr>
                <w:rFonts w:hAnsi="宋体"/>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8"/>
              <w:spacing w:before="18" w:line="348" w:lineRule="auto"/>
              <w:ind w:left="60" w:right="71"/>
              <w:jc w:val="both"/>
              <w:rPr>
                <w:sz w:val="20"/>
                <w:szCs w:val="20"/>
              </w:rPr>
            </w:pPr>
            <w:r>
              <w:rPr>
                <w:sz w:val="20"/>
                <w:szCs w:val="20"/>
              </w:rPr>
              <w:t>落实政府采购政策需满足的资格要求</w:t>
            </w:r>
          </w:p>
        </w:tc>
        <w:tc>
          <w:tcPr>
            <w:tcW w:w="6877" w:type="dxa"/>
            <w:vAlign w:val="center"/>
          </w:tcPr>
          <w:p>
            <w:pPr>
              <w:pStyle w:val="128"/>
              <w:spacing w:before="1"/>
              <w:ind w:right="71"/>
              <w:jc w:val="both"/>
              <w:rPr>
                <w:sz w:val="20"/>
                <w:szCs w:val="20"/>
              </w:rPr>
            </w:pPr>
            <w:r>
              <w:rPr>
                <w:rFonts w:hAnsi="宋体"/>
                <w:kern w:val="2"/>
                <w:sz w:val="22"/>
                <w:szCs w:val="22"/>
              </w:rPr>
              <w:t>本项目属于专门面向中小企业采购的项目。</w:t>
            </w:r>
          </w:p>
        </w:tc>
      </w:tr>
    </w:tbl>
    <w:p>
      <w:pPr>
        <w:pStyle w:val="16"/>
        <w:spacing w:before="150"/>
        <w:ind w:left="106"/>
        <w:rPr>
          <w:rFonts w:asciiTheme="minorEastAsia" w:hAnsiTheme="minorEastAsia" w:eastAsiaTheme="minorEastAsia"/>
          <w:sz w:val="22"/>
          <w:szCs w:val="22"/>
        </w:rPr>
      </w:pPr>
      <w:r>
        <w:rPr>
          <w:rFonts w:asciiTheme="minorEastAsia" w:hAnsiTheme="minorEastAsia" w:eastAsiaTheme="minorEastAsia"/>
          <w:sz w:val="22"/>
          <w:szCs w:val="22"/>
        </w:rPr>
        <w:t>符合性审查表</w:t>
      </w:r>
    </w:p>
    <w:tbl>
      <w:tblPr>
        <w:tblStyle w:val="4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投标函、资格文件声明函、承诺函</w:t>
            </w:r>
          </w:p>
        </w:tc>
        <w:tc>
          <w:tcPr>
            <w:tcW w:w="5812"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投标函、资格文件声明函、承诺函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法定代表人（负责人）证明书、法定代表人（负责人）授权委托书</w:t>
            </w:r>
          </w:p>
        </w:tc>
        <w:tc>
          <w:tcPr>
            <w:tcW w:w="5812" w:type="dxa"/>
            <w:vAlign w:val="center"/>
          </w:tcPr>
          <w:p>
            <w:pPr>
              <w:pStyle w:val="16"/>
              <w:rPr>
                <w:rFonts w:asciiTheme="minorEastAsia" w:hAnsiTheme="minorEastAsia" w:eastAsiaTheme="minorEastAsia"/>
                <w:sz w:val="20"/>
              </w:rPr>
            </w:pPr>
            <w:r>
              <w:rPr>
                <w:rFonts w:ascii="Courier New" w:hAnsi="Courier New" w:eastAsia="宋体" w:cs="Courier New"/>
                <w:kern w:val="0"/>
                <w:sz w:val="21"/>
                <w:szCs w:val="21"/>
              </w:rPr>
              <w:t>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投标有效期：</w:t>
            </w:r>
            <w:r>
              <w:rPr>
                <w:rFonts w:ascii="Arial" w:hAnsi="Arial" w:eastAsia="宋体" w:cs="Arial"/>
                <w:kern w:val="0"/>
                <w:sz w:val="21"/>
                <w:szCs w:val="21"/>
              </w:rPr>
              <w:t>90</w:t>
            </w:r>
            <w:r>
              <w:rPr>
                <w:rFonts w:ascii="Courier New" w:hAnsi="Courier New" w:eastAsia="宋体" w:cs="Courier New"/>
                <w:kern w:val="0"/>
                <w:sz w:val="21"/>
                <w:szCs w:val="21"/>
              </w:rPr>
              <w:t>天</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投标有效期：</w:t>
            </w:r>
            <w:r>
              <w:rPr>
                <w:rFonts w:ascii="Arial" w:hAnsi="Arial" w:eastAsia="宋体" w:cs="Arial"/>
                <w:kern w:val="0"/>
                <w:sz w:val="21"/>
                <w:szCs w:val="21"/>
              </w:rPr>
              <w:t>90</w:t>
            </w:r>
            <w:r>
              <w:rPr>
                <w:rFonts w:ascii="Courier New" w:hAnsi="Courier New" w:eastAsia="宋体" w:cs="Courier New"/>
                <w:kern w:val="0"/>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投标文件按照招标文件规定要求签署、盖章</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投标报价是固定价且未超过本项目采购预算</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投标报价是固定价且未超过本项目采购预算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投标文件要求采购本国产品时未以进口产品投标</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投标文件要求采购本国产品时未以进口产品投标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能满足用户需求的主要参数（带</w:t>
            </w:r>
            <w:r>
              <w:rPr>
                <w:rFonts w:ascii="Arial" w:hAnsi="Arial" w:eastAsia="宋体" w:cs="Arial"/>
                <w:kern w:val="0"/>
                <w:sz w:val="21"/>
                <w:szCs w:val="21"/>
              </w:rPr>
              <w:t>“</w:t>
            </w:r>
            <w:r>
              <w:rPr>
                <w:rFonts w:ascii="宋体" w:hAnsi="宋体" w:eastAsia="宋体" w:cs="宋体"/>
                <w:kern w:val="0"/>
                <w:sz w:val="21"/>
                <w:szCs w:val="21"/>
              </w:rPr>
              <w:t>★</w:t>
            </w:r>
            <w:r>
              <w:rPr>
                <w:rFonts w:ascii="Arial" w:hAnsi="Arial" w:eastAsia="宋体" w:cs="Arial"/>
                <w:kern w:val="0"/>
                <w:sz w:val="21"/>
                <w:szCs w:val="21"/>
              </w:rPr>
              <w:t>”</w:t>
            </w:r>
            <w:r>
              <w:rPr>
                <w:rFonts w:ascii="Courier New" w:hAnsi="Courier New" w:eastAsia="宋体" w:cs="Courier New"/>
                <w:kern w:val="0"/>
                <w:sz w:val="21"/>
                <w:szCs w:val="21"/>
              </w:rPr>
              <w:t>号条款）</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能满足用户需求的主要参数（带</w:t>
            </w:r>
            <w:r>
              <w:rPr>
                <w:rFonts w:ascii="Arial" w:hAnsi="Arial" w:eastAsia="宋体" w:cs="Arial"/>
                <w:kern w:val="0"/>
                <w:sz w:val="21"/>
                <w:szCs w:val="21"/>
              </w:rPr>
              <w:t>“</w:t>
            </w:r>
            <w:r>
              <w:rPr>
                <w:rFonts w:ascii="宋体" w:hAnsi="宋体" w:eastAsia="宋体" w:cs="宋体"/>
                <w:kern w:val="0"/>
                <w:sz w:val="21"/>
                <w:szCs w:val="21"/>
              </w:rPr>
              <w:t>★</w:t>
            </w:r>
            <w:r>
              <w:rPr>
                <w:rFonts w:ascii="Arial" w:hAnsi="Arial" w:eastAsia="宋体" w:cs="Arial"/>
                <w:kern w:val="0"/>
                <w:sz w:val="21"/>
                <w:szCs w:val="21"/>
              </w:rPr>
              <w:t>”</w:t>
            </w:r>
            <w:r>
              <w:rPr>
                <w:rFonts w:ascii="Courier New" w:hAnsi="Courier New" w:eastAsia="宋体" w:cs="Courier New"/>
                <w:kern w:val="0"/>
                <w:sz w:val="21"/>
                <w:szCs w:val="21"/>
              </w:rPr>
              <w:t>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投标文件没有采购人不能接受的附加条件</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投标文件没有采购人不能接受的附加条件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未出现法律、法规和招标文件规定的其他无效情形</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未出现法律、法规和招标文件规定的其他无效情形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投标保证金</w:t>
            </w:r>
          </w:p>
        </w:tc>
        <w:tc>
          <w:tcPr>
            <w:tcW w:w="5812" w:type="dxa"/>
            <w:vAlign w:val="center"/>
          </w:tcPr>
          <w:p>
            <w:pPr>
              <w:pStyle w:val="16"/>
              <w:rPr>
                <w:rFonts w:ascii="Courier New" w:hAnsi="Courier New" w:eastAsia="宋体" w:cs="Courier New"/>
                <w:kern w:val="0"/>
                <w:sz w:val="21"/>
                <w:szCs w:val="21"/>
              </w:rPr>
            </w:pPr>
            <w:r>
              <w:rPr>
                <w:rFonts w:ascii="Courier New" w:hAnsi="Courier New" w:eastAsia="宋体" w:cs="Courier New"/>
                <w:kern w:val="0"/>
                <w:sz w:val="21"/>
                <w:szCs w:val="21"/>
              </w:rPr>
              <w:t>投标人按招标文件要求缴纳投标保证金或投标保证缴纳金额满足招标文件要求的</w:t>
            </w:r>
          </w:p>
        </w:tc>
      </w:tr>
    </w:tbl>
    <w:p>
      <w:pPr>
        <w:pStyle w:val="16"/>
        <w:spacing w:before="10"/>
        <w:rPr>
          <w:rFonts w:asciiTheme="minorEastAsia" w:hAnsiTheme="minorEastAsia" w:eastAsiaTheme="minorEastAsia"/>
          <w:sz w:val="22"/>
          <w:szCs w:val="22"/>
        </w:rPr>
      </w:pPr>
    </w:p>
    <w:p>
      <w:pPr>
        <w:pStyle w:val="136"/>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 xml:space="preserve">注：以上材料将作为供应商有效性审核的重要内容之一，供应商必须严格按照其内容及序列要求在投标文件中对应如实提供，对资格性和符合性证明文件的任何缺漏和不符合项将会直接导致无效响应！ </w:t>
      </w:r>
    </w:p>
    <w:p>
      <w:pPr>
        <w:spacing w:before="11"/>
        <w:ind w:left="106"/>
        <w:rPr>
          <w:rFonts w:asciiTheme="minorEastAsia" w:hAnsiTheme="minorEastAsia" w:eastAsiaTheme="minorEastAsia"/>
          <w:spacing w:val="-5"/>
          <w:w w:val="129"/>
          <w:sz w:val="22"/>
          <w:szCs w:val="22"/>
        </w:rPr>
      </w:pPr>
    </w:p>
    <w:p>
      <w:pPr>
        <w:spacing w:before="11"/>
        <w:ind w:left="106"/>
        <w:rPr>
          <w:rFonts w:asciiTheme="minorEastAsia" w:hAnsiTheme="minorEastAsia" w:eastAsiaTheme="minorEastAsia"/>
          <w:w w:val="102"/>
          <w:sz w:val="22"/>
          <w:szCs w:val="22"/>
        </w:rPr>
      </w:pP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asciiTheme="minorEastAsia" w:hAnsiTheme="minorEastAsia" w:eastAsiaTheme="minorEastAsia"/>
          <w:w w:val="129"/>
          <w:sz w:val="22"/>
          <w:szCs w:val="22"/>
        </w:rPr>
        <w:t>1</w:t>
      </w:r>
      <w:r>
        <w:rPr>
          <w:rFonts w:asciiTheme="minorEastAsia" w:hAnsiTheme="minorEastAsia" w:eastAsiaTheme="minorEastAsia"/>
          <w:spacing w:val="-38"/>
          <w:sz w:val="22"/>
          <w:szCs w:val="22"/>
        </w:rPr>
        <w:t xml:space="preserve"> </w:t>
      </w:r>
      <w:r>
        <w:rPr>
          <w:rFonts w:asciiTheme="minorEastAsia" w:hAnsiTheme="minorEastAsia" w:eastAsiaTheme="minorEastAsia"/>
          <w:spacing w:val="-4"/>
          <w:w w:val="52"/>
          <w:sz w:val="22"/>
          <w:szCs w:val="22"/>
        </w:rPr>
        <w:t>“</w:t>
      </w:r>
      <w:r>
        <w:rPr>
          <w:rFonts w:hint="eastAsia" w:cs="宋体" w:asciiTheme="minorEastAsia" w:hAnsiTheme="minorEastAsia" w:eastAsiaTheme="minorEastAsia"/>
          <w:spacing w:val="-1"/>
          <w:w w:val="91"/>
          <w:sz w:val="22"/>
          <w:szCs w:val="22"/>
        </w:rPr>
        <w:t>★</w:t>
      </w:r>
      <w:r>
        <w:rPr>
          <w:rFonts w:asciiTheme="minorEastAsia" w:hAnsiTheme="minorEastAsia" w:eastAsiaTheme="minorEastAsia"/>
          <w:spacing w:val="-4"/>
          <w:w w:val="52"/>
          <w:sz w:val="22"/>
          <w:szCs w:val="22"/>
        </w:rPr>
        <w:t>”</w:t>
      </w:r>
      <w:r>
        <w:rPr>
          <w:rFonts w:asciiTheme="minorEastAsia" w:hAnsiTheme="minorEastAsia" w:eastAsiaTheme="minorEastAsia"/>
          <w:w w:val="102"/>
          <w:sz w:val="22"/>
          <w:szCs w:val="22"/>
        </w:rPr>
        <w:t>条款自查表</w:t>
      </w:r>
    </w:p>
    <w:p>
      <w:pPr>
        <w:spacing w:before="11"/>
        <w:ind w:left="106"/>
        <w:rPr>
          <w:rFonts w:asciiTheme="minorEastAsia" w:hAnsiTheme="minorEastAsia" w:eastAsiaTheme="minorEastAsia"/>
          <w:w w:val="102"/>
          <w:sz w:val="22"/>
          <w:szCs w:val="22"/>
        </w:rPr>
      </w:pPr>
    </w:p>
    <w:tbl>
      <w:tblPr>
        <w:tblStyle w:val="43"/>
        <w:tblW w:w="879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4865"/>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128"/>
              <w:ind w:left="282"/>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5142" w:type="dxa"/>
            <w:vAlign w:val="center"/>
          </w:tcPr>
          <w:p>
            <w:pPr>
              <w:pStyle w:val="128"/>
              <w:spacing w:before="100"/>
              <w:ind w:left="1200" w:firstLine="400"/>
              <w:rPr>
                <w:rFonts w:asciiTheme="minorEastAsia" w:hAnsiTheme="minorEastAsia" w:eastAsiaTheme="minorEastAsia"/>
                <w:sz w:val="22"/>
                <w:szCs w:val="22"/>
              </w:rPr>
            </w:pPr>
            <w:r>
              <w:rPr>
                <w:rFonts w:hint="eastAsia" w:asciiTheme="minorEastAsia" w:hAnsiTheme="minorEastAsia" w:eastAsiaTheme="minorEastAsia"/>
                <w:b/>
                <w:w w:val="90"/>
                <w:sz w:val="22"/>
                <w:szCs w:val="22"/>
              </w:rPr>
              <w:t>“★”</w:t>
            </w:r>
            <w:r>
              <w:rPr>
                <w:rFonts w:asciiTheme="minorEastAsia" w:hAnsiTheme="minorEastAsia" w:eastAsiaTheme="minorEastAsia"/>
                <w:w w:val="90"/>
                <w:sz w:val="22"/>
                <w:szCs w:val="22"/>
              </w:rPr>
              <w:t>条款要求</w:t>
            </w:r>
          </w:p>
        </w:tc>
        <w:tc>
          <w:tcPr>
            <w:tcW w:w="2693" w:type="dxa"/>
            <w:vAlign w:val="center"/>
          </w:tcPr>
          <w:p>
            <w:pPr>
              <w:pStyle w:val="128"/>
              <w:spacing w:before="103"/>
              <w:ind w:left="83"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证明文件（如有</w:t>
            </w:r>
            <w:r>
              <w:rPr>
                <w:rFonts w:asciiTheme="minorEastAsia" w:hAnsiTheme="minorEastAsia" w:eastAsiaTheme="minorEastAsia"/>
                <w:w w:val="10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ind w:firstLine="440"/>
              <w:rPr>
                <w:rFonts w:asciiTheme="minorEastAsia" w:hAnsiTheme="minorEastAsia" w:eastAsiaTheme="minorEastAsia"/>
                <w:sz w:val="22"/>
              </w:rPr>
            </w:pP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ind w:firstLine="440"/>
              <w:rPr>
                <w:rFonts w:asciiTheme="minorEastAsia" w:hAnsiTheme="minorEastAsia" w:eastAsiaTheme="minorEastAsia"/>
                <w:sz w:val="22"/>
              </w:rPr>
            </w:pP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ind w:firstLine="440"/>
              <w:rPr>
                <w:rFonts w:asciiTheme="minorEastAsia" w:hAnsiTheme="minorEastAsia" w:eastAsiaTheme="minorEastAsia"/>
                <w:sz w:val="22"/>
              </w:rPr>
            </w:pP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ind w:firstLine="440"/>
              <w:rPr>
                <w:rFonts w:asciiTheme="minorEastAsia" w:hAnsiTheme="minorEastAsia" w:eastAsiaTheme="minorEastAsia"/>
                <w:sz w:val="22"/>
              </w:rPr>
            </w:pP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ind w:firstLine="440"/>
              <w:rPr>
                <w:rFonts w:asciiTheme="minorEastAsia" w:hAnsiTheme="minorEastAsia" w:eastAsiaTheme="minorEastAsia"/>
                <w:sz w:val="22"/>
              </w:rPr>
            </w:pP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ind w:firstLine="440"/>
              <w:rPr>
                <w:rFonts w:asciiTheme="minorEastAsia" w:hAnsiTheme="minorEastAsia" w:eastAsiaTheme="minorEastAsia"/>
                <w:sz w:val="22"/>
              </w:rPr>
            </w:pP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128"/>
              <w:spacing w:before="103"/>
              <w:ind w:left="300" w:firstLine="440"/>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142" w:type="dxa"/>
            <w:vAlign w:val="center"/>
          </w:tcPr>
          <w:p>
            <w:pPr>
              <w:ind w:firstLine="440"/>
              <w:rPr>
                <w:rFonts w:asciiTheme="minorEastAsia" w:hAnsiTheme="minorEastAsia" w:eastAsiaTheme="minorEastAsia"/>
                <w:sz w:val="22"/>
              </w:rPr>
            </w:pPr>
          </w:p>
        </w:tc>
        <w:tc>
          <w:tcPr>
            <w:tcW w:w="2693"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bl>
    <w:p>
      <w:pPr>
        <w:pStyle w:val="136"/>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注：1.此表内容必须与</w:t>
      </w:r>
      <w:r>
        <w:rPr>
          <w:rFonts w:hint="eastAsia" w:asciiTheme="minorEastAsia" w:hAnsiTheme="minorEastAsia" w:eastAsiaTheme="minorEastAsia"/>
          <w:sz w:val="22"/>
          <w:szCs w:val="22"/>
          <w:lang w:eastAsia="zh-CN"/>
        </w:rPr>
        <w:t>投标</w:t>
      </w:r>
      <w:r>
        <w:rPr>
          <w:rFonts w:asciiTheme="minorEastAsia" w:hAnsiTheme="minorEastAsia" w:eastAsiaTheme="minorEastAsia"/>
          <w:sz w:val="22"/>
          <w:szCs w:val="22"/>
          <w:lang w:eastAsia="zh-CN"/>
        </w:rPr>
        <w:t>文件中所介绍的内容一致。</w:t>
      </w:r>
    </w:p>
    <w:p>
      <w:pPr>
        <w:pStyle w:val="106"/>
        <w:numPr>
          <w:ilvl w:val="1"/>
          <w:numId w:val="5"/>
        </w:numPr>
        <w:tabs>
          <w:tab w:val="left" w:pos="497"/>
        </w:tabs>
        <w:autoSpaceDE w:val="0"/>
        <w:autoSpaceDN w:val="0"/>
        <w:spacing w:before="202"/>
        <w:ind w:hanging="390" w:firstLineChars="0"/>
        <w:jc w:val="left"/>
        <w:rPr>
          <w:rFonts w:asciiTheme="minorEastAsia" w:hAnsiTheme="minorEastAsia" w:eastAsiaTheme="minorEastAsia"/>
          <w:sz w:val="22"/>
        </w:rPr>
      </w:pPr>
      <w:r>
        <w:rPr>
          <w:rFonts w:asciiTheme="minorEastAsia" w:hAnsiTheme="minorEastAsia" w:eastAsiaTheme="minorEastAsia"/>
          <w:spacing w:val="10"/>
          <w:sz w:val="22"/>
        </w:rPr>
        <w:t>技术评审自查表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268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2835" w:type="dxa"/>
            <w:vAlign w:val="center"/>
          </w:tcPr>
          <w:p>
            <w:pPr>
              <w:pStyle w:val="128"/>
              <w:spacing w:before="103"/>
              <w:ind w:left="600"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评审分项</w:t>
            </w:r>
          </w:p>
        </w:tc>
        <w:tc>
          <w:tcPr>
            <w:tcW w:w="2685" w:type="dxa"/>
            <w:vAlign w:val="center"/>
          </w:tcPr>
          <w:p>
            <w:pPr>
              <w:pStyle w:val="128"/>
              <w:spacing w:before="103"/>
              <w:ind w:left="600"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自评得分</w:t>
            </w:r>
          </w:p>
        </w:tc>
        <w:tc>
          <w:tcPr>
            <w:tcW w:w="2207" w:type="dxa"/>
            <w:vAlign w:val="center"/>
          </w:tcPr>
          <w:p>
            <w:pPr>
              <w:pStyle w:val="128"/>
              <w:spacing w:before="103"/>
              <w:ind w:firstLine="440"/>
              <w:rPr>
                <w:rFonts w:asciiTheme="minorEastAsia" w:hAnsiTheme="minorEastAsia" w:eastAsiaTheme="minorEastAsia"/>
                <w:sz w:val="22"/>
                <w:szCs w:val="22"/>
              </w:rPr>
            </w:pPr>
            <w:r>
              <w:rPr>
                <w:rFonts w:asciiTheme="minorEastAsia" w:hAnsiTheme="minorEastAsia" w:eastAsiaTheme="minorEastAsia"/>
                <w:sz w:val="22"/>
                <w:szCs w:val="22"/>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1</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2</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3</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4</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5</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6</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7</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8</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9</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440"/>
              <w:jc w:val="center"/>
              <w:rPr>
                <w:rFonts w:asciiTheme="minorEastAsia" w:hAnsiTheme="minorEastAsia" w:eastAsiaTheme="minorEastAsia"/>
                <w:w w:val="129"/>
                <w:sz w:val="22"/>
                <w:szCs w:val="22"/>
              </w:rPr>
            </w:pPr>
            <w:r>
              <w:rPr>
                <w:rFonts w:asciiTheme="minorEastAsia" w:hAnsiTheme="minorEastAsia" w:eastAsiaTheme="minorEastAsia"/>
                <w:sz w:val="22"/>
                <w:szCs w:val="22"/>
              </w:rPr>
              <w:t>……</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bl>
    <w:p>
      <w:pPr>
        <w:pStyle w:val="16"/>
        <w:spacing w:before="9"/>
        <w:rPr>
          <w:rFonts w:asciiTheme="minorEastAsia" w:hAnsiTheme="minorEastAsia" w:eastAsiaTheme="minorEastAsia"/>
          <w:sz w:val="22"/>
          <w:szCs w:val="22"/>
        </w:rPr>
      </w:pPr>
    </w:p>
    <w:p>
      <w:pPr>
        <w:spacing w:before="55" w:line="283" w:lineRule="auto"/>
        <w:ind w:left="550" w:right="185" w:hanging="445"/>
        <w:rPr>
          <w:rFonts w:asciiTheme="minorEastAsia" w:hAnsiTheme="minorEastAsia" w:eastAsiaTheme="minorEastAsia"/>
          <w:sz w:val="22"/>
          <w:szCs w:val="22"/>
        </w:rPr>
      </w:pPr>
      <w:r>
        <w:rPr>
          <w:rFonts w:asciiTheme="minorEastAsia" w:hAnsiTheme="minorEastAsia" w:eastAsiaTheme="minorEastAsia"/>
          <w:sz w:val="22"/>
          <w:szCs w:val="22"/>
        </w:rPr>
        <w:t>注：</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供应商应根据《技术评审表》的各项内容填写此表，如自评得分与证明材料不一致，评审委员会将有可能做出对</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人不利的评定。</w:t>
      </w:r>
    </w:p>
    <w:p>
      <w:pPr>
        <w:spacing w:line="283"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06"/>
        <w:numPr>
          <w:ilvl w:val="1"/>
          <w:numId w:val="5"/>
        </w:numPr>
        <w:tabs>
          <w:tab w:val="left" w:pos="497"/>
        </w:tabs>
        <w:autoSpaceDE w:val="0"/>
        <w:autoSpaceDN w:val="0"/>
        <w:spacing w:line="329" w:lineRule="exact"/>
        <w:ind w:hanging="390" w:firstLineChars="0"/>
        <w:jc w:val="left"/>
        <w:rPr>
          <w:rFonts w:asciiTheme="minorEastAsia" w:hAnsiTheme="minorEastAsia" w:eastAsiaTheme="minorEastAsia"/>
          <w:sz w:val="22"/>
        </w:rPr>
      </w:pPr>
      <w:r>
        <w:rPr>
          <w:rFonts w:asciiTheme="minorEastAsia" w:hAnsiTheme="minorEastAsia" w:eastAsiaTheme="minorEastAsia"/>
          <w:spacing w:val="10"/>
          <w:sz w:val="22"/>
        </w:rPr>
        <w:t>商务评审自查表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268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2835" w:type="dxa"/>
            <w:vAlign w:val="center"/>
          </w:tcPr>
          <w:p>
            <w:pPr>
              <w:pStyle w:val="128"/>
              <w:spacing w:before="103"/>
              <w:ind w:left="600"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评审分项</w:t>
            </w:r>
          </w:p>
        </w:tc>
        <w:tc>
          <w:tcPr>
            <w:tcW w:w="2685" w:type="dxa"/>
            <w:vAlign w:val="center"/>
          </w:tcPr>
          <w:p>
            <w:pPr>
              <w:pStyle w:val="128"/>
              <w:spacing w:before="103"/>
              <w:ind w:left="600"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自评得分</w:t>
            </w:r>
          </w:p>
        </w:tc>
        <w:tc>
          <w:tcPr>
            <w:tcW w:w="2207" w:type="dxa"/>
            <w:vAlign w:val="center"/>
          </w:tcPr>
          <w:p>
            <w:pPr>
              <w:pStyle w:val="128"/>
              <w:spacing w:before="103"/>
              <w:ind w:firstLine="440"/>
              <w:rPr>
                <w:rFonts w:asciiTheme="minorEastAsia" w:hAnsiTheme="minorEastAsia" w:eastAsiaTheme="minorEastAsia"/>
                <w:sz w:val="22"/>
                <w:szCs w:val="22"/>
              </w:rPr>
            </w:pPr>
            <w:r>
              <w:rPr>
                <w:rFonts w:asciiTheme="minorEastAsia" w:hAnsiTheme="minorEastAsia" w:eastAsiaTheme="minorEastAsia"/>
                <w:sz w:val="22"/>
                <w:szCs w:val="22"/>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1</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2</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3</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4</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5</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6</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7</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8</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567"/>
              <w:jc w:val="center"/>
              <w:rPr>
                <w:rFonts w:asciiTheme="minorEastAsia" w:hAnsiTheme="minorEastAsia" w:eastAsiaTheme="minorEastAsia"/>
                <w:sz w:val="22"/>
                <w:szCs w:val="22"/>
              </w:rPr>
            </w:pPr>
            <w:r>
              <w:rPr>
                <w:rFonts w:asciiTheme="minorEastAsia" w:hAnsiTheme="minorEastAsia" w:eastAsiaTheme="minorEastAsia"/>
                <w:w w:val="129"/>
                <w:sz w:val="22"/>
                <w:szCs w:val="22"/>
              </w:rPr>
              <w:t>9</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8"/>
              <w:spacing w:before="103"/>
              <w:ind w:left="4" w:firstLine="440"/>
              <w:jc w:val="center"/>
              <w:rPr>
                <w:rFonts w:asciiTheme="minorEastAsia" w:hAnsiTheme="minorEastAsia" w:eastAsiaTheme="minorEastAsia"/>
                <w:w w:val="129"/>
                <w:sz w:val="22"/>
                <w:szCs w:val="22"/>
              </w:rPr>
            </w:pPr>
            <w:r>
              <w:rPr>
                <w:rFonts w:asciiTheme="minorEastAsia" w:hAnsiTheme="minorEastAsia" w:eastAsiaTheme="minorEastAsia"/>
                <w:sz w:val="22"/>
                <w:szCs w:val="22"/>
              </w:rPr>
              <w:t>……</w:t>
            </w:r>
          </w:p>
        </w:tc>
        <w:tc>
          <w:tcPr>
            <w:tcW w:w="2835" w:type="dxa"/>
            <w:vAlign w:val="center"/>
          </w:tcPr>
          <w:p>
            <w:pPr>
              <w:ind w:firstLine="440"/>
              <w:jc w:val="center"/>
              <w:rPr>
                <w:rFonts w:asciiTheme="minorEastAsia" w:hAnsiTheme="minorEastAsia" w:eastAsiaTheme="minorEastAsia"/>
                <w:sz w:val="22"/>
              </w:rPr>
            </w:pPr>
          </w:p>
        </w:tc>
        <w:tc>
          <w:tcPr>
            <w:tcW w:w="2685" w:type="dxa"/>
            <w:vAlign w:val="center"/>
          </w:tcPr>
          <w:p>
            <w:pPr>
              <w:ind w:firstLine="440"/>
              <w:jc w:val="center"/>
              <w:rPr>
                <w:rFonts w:asciiTheme="minorEastAsia" w:hAnsiTheme="minorEastAsia" w:eastAsiaTheme="minorEastAsia"/>
                <w:sz w:val="22"/>
              </w:rPr>
            </w:pPr>
          </w:p>
        </w:tc>
        <w:tc>
          <w:tcPr>
            <w:tcW w:w="2207" w:type="dxa"/>
            <w:vAlign w:val="center"/>
          </w:tcPr>
          <w:p>
            <w:pPr>
              <w:pStyle w:val="128"/>
              <w:spacing w:before="103"/>
              <w:ind w:left="105" w:right="106" w:firstLine="440"/>
              <w:jc w:val="center"/>
              <w:rPr>
                <w:rFonts w:asciiTheme="minorEastAsia" w:hAnsiTheme="minorEastAsia" w:eastAsiaTheme="minorEastAsia"/>
                <w:sz w:val="22"/>
                <w:szCs w:val="22"/>
              </w:rPr>
            </w:pPr>
            <w:r>
              <w:rPr>
                <w:rFonts w:asciiTheme="minorEastAsia" w:hAnsiTheme="minorEastAsia" w:eastAsiaTheme="minorEastAsia"/>
                <w:sz w:val="22"/>
                <w:szCs w:val="22"/>
              </w:rPr>
              <w:t>见</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文件（）页</w:t>
            </w:r>
          </w:p>
        </w:tc>
      </w:tr>
    </w:tbl>
    <w:p>
      <w:pPr>
        <w:spacing w:before="187" w:line="283" w:lineRule="auto"/>
        <w:ind w:left="106" w:right="185"/>
        <w:rPr>
          <w:rFonts w:asciiTheme="minorEastAsia" w:hAnsiTheme="minorEastAsia" w:eastAsiaTheme="minorEastAsia"/>
          <w:sz w:val="22"/>
          <w:szCs w:val="22"/>
        </w:rPr>
        <w:sectPr>
          <w:pgSz w:w="11900" w:h="16840"/>
          <w:pgMar w:top="1440" w:right="1644" w:bottom="1276" w:left="1644" w:header="0" w:footer="363" w:gutter="0"/>
          <w:cols w:space="720" w:num="1"/>
        </w:sectPr>
      </w:pPr>
      <w:r>
        <w:rPr>
          <w:rFonts w:asciiTheme="minorEastAsia" w:hAnsiTheme="minorEastAsia" w:eastAsiaTheme="minorEastAsia"/>
          <w:sz w:val="22"/>
          <w:szCs w:val="22"/>
        </w:rPr>
        <w:t>注：</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供应商应根据《商务评审表》的各项内容填写此表，如自评得分与证明材料不一致，评审委员会将有可能做出对</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人不利的评定。</w:t>
      </w: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格式十九：履约进度计划表</w:t>
      </w:r>
    </w:p>
    <w:p>
      <w:pPr>
        <w:pStyle w:val="16"/>
        <w:rPr>
          <w:rFonts w:asciiTheme="minorEastAsia" w:hAnsiTheme="minorEastAsia" w:eastAsiaTheme="minorEastAsia"/>
          <w:sz w:val="22"/>
          <w:szCs w:val="22"/>
        </w:rPr>
      </w:pPr>
    </w:p>
    <w:p>
      <w:pPr>
        <w:pStyle w:val="136"/>
        <w:spacing w:before="41"/>
        <w:ind w:left="212" w:right="216"/>
        <w:jc w:val="center"/>
        <w:rPr>
          <w:rFonts w:asciiTheme="minorEastAsia" w:hAnsiTheme="minorEastAsia" w:eastAsiaTheme="minorEastAsia"/>
          <w:sz w:val="22"/>
          <w:szCs w:val="22"/>
        </w:rPr>
      </w:pPr>
      <w:r>
        <w:rPr>
          <w:rFonts w:asciiTheme="minorEastAsia" w:hAnsiTheme="minorEastAsia" w:eastAsiaTheme="minorEastAsia"/>
          <w:sz w:val="22"/>
          <w:szCs w:val="22"/>
        </w:rPr>
        <w:t>履约进度计划表</w:t>
      </w:r>
    </w:p>
    <w:tbl>
      <w:tblPr>
        <w:tblStyle w:val="131"/>
        <w:tblpPr w:leftFromText="180" w:rightFromText="180" w:vertAnchor="text" w:horzAnchor="margin" w:tblpY="281"/>
        <w:tblW w:w="8789"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Layout w:type="fixed"/>
        <w:tblCellMar>
          <w:top w:w="0" w:type="dxa"/>
          <w:left w:w="0" w:type="dxa"/>
          <w:bottom w:w="0" w:type="dxa"/>
          <w:right w:w="0" w:type="dxa"/>
        </w:tblCellMar>
      </w:tblPr>
      <w:tblGrid>
        <w:gridCol w:w="853"/>
        <w:gridCol w:w="2785"/>
        <w:gridCol w:w="2741"/>
        <w:gridCol w:w="2410"/>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48" w:hRule="exact"/>
        </w:trPr>
        <w:tc>
          <w:tcPr>
            <w:tcW w:w="853"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423" w:right="42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序号</w:t>
            </w:r>
          </w:p>
        </w:tc>
        <w:tc>
          <w:tcPr>
            <w:tcW w:w="2785"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拟定时间安排</w:t>
            </w:r>
          </w:p>
        </w:tc>
        <w:tc>
          <w:tcPr>
            <w:tcW w:w="2741"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计划完成的工作内容</w:t>
            </w:r>
          </w:p>
        </w:tc>
        <w:tc>
          <w:tcPr>
            <w:tcW w:w="2410"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570"/>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实施方建议或要求</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60" w:hRule="exact"/>
        </w:trPr>
        <w:tc>
          <w:tcPr>
            <w:tcW w:w="853"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1</w:t>
            </w:r>
          </w:p>
        </w:tc>
        <w:tc>
          <w:tcPr>
            <w:tcW w:w="2785"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tabs>
                <w:tab w:val="left" w:pos="1332"/>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拟定</w:t>
            </w:r>
            <w:r>
              <w:rPr>
                <w:rFonts w:asciiTheme="minorEastAsia" w:hAnsiTheme="minorEastAsia" w:eastAsiaTheme="minorEastAsia" w:cstheme="minorBidi"/>
                <w:spacing w:val="34"/>
                <w:sz w:val="22"/>
                <w:szCs w:val="22"/>
                <w:lang w:eastAsia="en-US"/>
              </w:rPr>
              <w:t xml:space="preserve"> </w:t>
            </w:r>
            <w:r>
              <w:rPr>
                <w:rFonts w:asciiTheme="minorEastAsia" w:hAnsiTheme="minorEastAsia" w:eastAsiaTheme="minorEastAsia" w:cstheme="minorBidi"/>
                <w:sz w:val="22"/>
                <w:szCs w:val="22"/>
                <w:lang w:eastAsia="en-US"/>
              </w:rPr>
              <w:t>年</w:t>
            </w:r>
            <w:r>
              <w:rPr>
                <w:rFonts w:asciiTheme="minorEastAsia" w:hAnsiTheme="minorEastAsia" w:eastAsiaTheme="minorEastAsia" w:cstheme="minorBidi"/>
                <w:spacing w:val="34"/>
                <w:sz w:val="22"/>
                <w:szCs w:val="22"/>
                <w:lang w:eastAsia="en-US"/>
              </w:rPr>
              <w:t xml:space="preserve"> </w:t>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签定合同并生效</w:t>
            </w: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60" w:hRule="exact"/>
        </w:trPr>
        <w:tc>
          <w:tcPr>
            <w:tcW w:w="853"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2</w:t>
            </w:r>
          </w:p>
        </w:tc>
        <w:tc>
          <w:tcPr>
            <w:tcW w:w="2785"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60" w:hRule="exact"/>
        </w:trPr>
        <w:tc>
          <w:tcPr>
            <w:tcW w:w="853"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3</w:t>
            </w:r>
          </w:p>
        </w:tc>
        <w:tc>
          <w:tcPr>
            <w:tcW w:w="2785"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853"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4</w:t>
            </w:r>
          </w:p>
        </w:tc>
        <w:tc>
          <w:tcPr>
            <w:tcW w:w="2785"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pStyle w:val="128"/>
              <w:spacing w:before="7"/>
              <w:rPr>
                <w:rFonts w:asciiTheme="minorEastAsia" w:hAnsiTheme="minorEastAsia" w:eastAsiaTheme="minorEastAsia" w:cstheme="minorBidi"/>
                <w:sz w:val="22"/>
                <w:szCs w:val="22"/>
                <w:lang w:eastAsia="en-US"/>
              </w:rPr>
            </w:pPr>
          </w:p>
          <w:p>
            <w:pPr>
              <w:pStyle w:val="128"/>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质保期</w:t>
            </w: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bl>
    <w:p>
      <w:pPr>
        <w:pStyle w:val="16"/>
        <w:spacing w:before="1"/>
        <w:rPr>
          <w:rFonts w:asciiTheme="minorEastAsia" w:hAnsiTheme="minorEastAsia" w:eastAsiaTheme="minorEastAsia"/>
          <w:sz w:val="22"/>
          <w:szCs w:val="22"/>
        </w:rPr>
      </w:pPr>
    </w:p>
    <w:p>
      <w:pPr>
        <w:rPr>
          <w:rFonts w:asciiTheme="minorEastAsia" w:hAnsiTheme="minorEastAsia" w:eastAsiaTheme="minorEastAsia"/>
          <w:sz w:val="22"/>
          <w:szCs w:val="22"/>
        </w:rPr>
        <w:sectPr>
          <w:footerReference r:id="rId9" w:type="default"/>
          <w:pgSz w:w="11900" w:h="16840"/>
          <w:pgMar w:top="1440" w:right="1644" w:bottom="1276" w:left="1644" w:header="0" w:footer="363" w:gutter="0"/>
          <w:pgNumType w:start="5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w:t>
      </w:r>
    </w:p>
    <w:p>
      <w:pPr>
        <w:pStyle w:val="16"/>
        <w:rPr>
          <w:rFonts w:asciiTheme="minorEastAsia" w:hAnsiTheme="minorEastAsia" w:eastAsiaTheme="minorEastAsia"/>
          <w:sz w:val="22"/>
          <w:szCs w:val="22"/>
        </w:rPr>
      </w:pPr>
    </w:p>
    <w:p>
      <w:pPr>
        <w:pStyle w:val="136"/>
        <w:spacing w:before="41"/>
        <w:ind w:left="1113"/>
        <w:jc w:val="center"/>
        <w:rPr>
          <w:rFonts w:asciiTheme="minorEastAsia" w:hAnsiTheme="minorEastAsia" w:eastAsiaTheme="minorEastAsia"/>
          <w:sz w:val="22"/>
          <w:szCs w:val="22"/>
        </w:rPr>
      </w:pPr>
      <w:r>
        <w:rPr>
          <w:rFonts w:asciiTheme="minorEastAsia" w:hAnsiTheme="minorEastAsia" w:eastAsiaTheme="minorEastAsia"/>
          <w:sz w:val="22"/>
          <w:szCs w:val="22"/>
        </w:rPr>
        <w:t>各类证明材料</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hint="eastAsia" w:asciiTheme="minorEastAsia" w:hAnsiTheme="minorEastAsia" w:eastAsiaTheme="minorEastAsia"/>
          <w:w w:val="102"/>
          <w:sz w:val="22"/>
          <w:szCs w:val="22"/>
        </w:rPr>
        <w:t>投标</w:t>
      </w:r>
      <w:r>
        <w:rPr>
          <w:rFonts w:asciiTheme="minorEastAsia" w:hAnsiTheme="minorEastAsia" w:eastAsiaTheme="minorEastAsia"/>
          <w:w w:val="102"/>
          <w:sz w:val="22"/>
          <w:szCs w:val="22"/>
        </w:rPr>
        <w:t>文件要求提供的其他资料。</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2</w:t>
      </w:r>
      <w:r>
        <w:rPr>
          <w:rFonts w:asciiTheme="minorEastAsia" w:hAnsiTheme="minorEastAsia" w:eastAsiaTheme="minorEastAsia"/>
          <w:spacing w:val="3"/>
          <w:w w:val="64"/>
          <w:sz w:val="22"/>
          <w:szCs w:val="22"/>
        </w:rPr>
        <w:t>.</w:t>
      </w:r>
      <w:r>
        <w:rPr>
          <w:rFonts w:asciiTheme="minorEastAsia" w:hAnsiTheme="minorEastAsia" w:eastAsiaTheme="minorEastAsia"/>
          <w:w w:val="102"/>
          <w:sz w:val="22"/>
          <w:szCs w:val="22"/>
        </w:rPr>
        <w:t>供应商认为需提供的其他资料。</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格式二十一：（若采购人支付采购代理费，则无需出具此承诺书）</w:t>
      </w:r>
    </w:p>
    <w:p>
      <w:pPr>
        <w:pStyle w:val="136"/>
        <w:spacing w:before="1"/>
        <w:ind w:left="53"/>
        <w:jc w:val="center"/>
        <w:rPr>
          <w:rFonts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采购</w:t>
      </w:r>
      <w:r>
        <w:rPr>
          <w:rFonts w:asciiTheme="minorEastAsia" w:hAnsiTheme="minorEastAsia" w:eastAsiaTheme="minorEastAsia"/>
          <w:sz w:val="22"/>
          <w:szCs w:val="22"/>
          <w:lang w:eastAsia="zh-CN"/>
        </w:rPr>
        <w:t>代理服务费</w:t>
      </w:r>
      <w:r>
        <w:rPr>
          <w:rFonts w:hint="eastAsia" w:asciiTheme="minorEastAsia" w:hAnsiTheme="minorEastAsia" w:eastAsiaTheme="minorEastAsia"/>
          <w:sz w:val="22"/>
          <w:szCs w:val="22"/>
          <w:lang w:eastAsia="zh-CN"/>
        </w:rPr>
        <w:t>支付</w:t>
      </w:r>
      <w:r>
        <w:rPr>
          <w:rFonts w:asciiTheme="minorEastAsia" w:hAnsiTheme="minorEastAsia" w:eastAsiaTheme="minorEastAsia"/>
          <w:sz w:val="22"/>
          <w:szCs w:val="22"/>
          <w:lang w:eastAsia="zh-CN"/>
        </w:rPr>
        <w:t>承诺函</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致：</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如果我方在贵采购代理机构组织的</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项目招标中获中标（采购项目编号：</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），我方保证在收取《中标通知书》前，按招标文件对采购代理费支付方式的约定，承担本项目采购代理费。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我方如违约，愿凭贵单位开出的违约通知，从我方提交的投标保证金中支付，不足部分由采购人在支付我方的中标合同款中代为扣付；以投标（响应）担保函（或保险保函）方式方式提交投标保证金时，同意和要求投标（响应）担保函开立银行或担保机构、保险保函开立的保险机构应</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中堂镇招投标服务所的要求办理支付手续。</w:t>
      </w:r>
    </w:p>
    <w:p>
      <w:pPr>
        <w:pStyle w:val="16"/>
        <w:spacing w:before="11"/>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特此承诺！</w:t>
      </w:r>
    </w:p>
    <w:p>
      <w:pPr>
        <w:spacing w:before="169"/>
        <w:ind w:left="106"/>
        <w:rPr>
          <w:rFonts w:asciiTheme="minorEastAsia" w:hAnsiTheme="minorEastAsia" w:eastAsiaTheme="minorEastAsia"/>
          <w:w w:val="102"/>
          <w:sz w:val="22"/>
          <w:szCs w:val="22"/>
        </w:rPr>
      </w:pPr>
    </w:p>
    <w:p>
      <w:pPr>
        <w:spacing w:before="169"/>
        <w:ind w:left="106"/>
        <w:rPr>
          <w:rFonts w:asciiTheme="minorEastAsia" w:hAnsiTheme="minorEastAsia" w:eastAsiaTheme="minorEastAsia"/>
          <w:w w:val="102"/>
          <w:sz w:val="22"/>
          <w:szCs w:val="22"/>
        </w:rPr>
      </w:pP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 xml:space="preserve">承诺方法定名称（盖章）： </w:t>
      </w: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地址：</w:t>
      </w: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 xml:space="preserve">邮编：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电话：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传真：</w:t>
      </w: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 xml:space="preserve">承诺方授权代表人（签字）：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承诺日期：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年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月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日</w:t>
      </w:r>
    </w:p>
    <w:p>
      <w:pPr>
        <w:spacing w:line="388"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格式二十二：</w:t>
      </w:r>
    </w:p>
    <w:p>
      <w:pPr>
        <w:pStyle w:val="136"/>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需要采购人提供的附加条件</w:t>
      </w:r>
    </w:p>
    <w:tbl>
      <w:tblPr>
        <w:tblStyle w:val="131"/>
        <w:tblpPr w:leftFromText="180" w:rightFromText="180" w:vertAnchor="text" w:horzAnchor="margin" w:tblpY="263"/>
        <w:tblW w:w="8653"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994"/>
        <w:gridCol w:w="765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pStyle w:val="128"/>
              <w:spacing w:before="7"/>
              <w:rPr>
                <w:rFonts w:asciiTheme="minorEastAsia" w:hAnsiTheme="minorEastAsia" w:eastAsiaTheme="minorEastAsia" w:cstheme="minorBidi"/>
                <w:sz w:val="22"/>
                <w:szCs w:val="22"/>
                <w:lang w:eastAsia="zh-CN"/>
              </w:rPr>
            </w:pPr>
          </w:p>
          <w:p>
            <w:pPr>
              <w:pStyle w:val="128"/>
              <w:ind w:left="459" w:right="460"/>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序号</w:t>
            </w:r>
          </w:p>
        </w:tc>
        <w:tc>
          <w:tcPr>
            <w:tcW w:w="7659" w:type="dxa"/>
            <w:shd w:val="clear" w:color="auto" w:fill="auto"/>
          </w:tcPr>
          <w:p>
            <w:pPr>
              <w:pStyle w:val="128"/>
              <w:spacing w:before="7"/>
              <w:rPr>
                <w:rFonts w:asciiTheme="minorEastAsia" w:hAnsiTheme="minorEastAsia" w:eastAsiaTheme="minorEastAsia" w:cstheme="minorBidi"/>
                <w:sz w:val="22"/>
                <w:szCs w:val="22"/>
                <w:lang w:eastAsia="zh-CN"/>
              </w:rPr>
            </w:pPr>
          </w:p>
          <w:p>
            <w:pPr>
              <w:pStyle w:val="128"/>
              <w:ind w:left="2316"/>
              <w:rPr>
                <w:rFonts w:asciiTheme="minorEastAsia" w:hAnsiTheme="minorEastAsia" w:eastAsiaTheme="minorEastAsia" w:cstheme="minorBidi"/>
                <w:sz w:val="22"/>
                <w:szCs w:val="22"/>
                <w:lang w:eastAsia="zh-CN"/>
              </w:rPr>
            </w:pPr>
            <w:r>
              <w:rPr>
                <w:rFonts w:asciiTheme="minorEastAsia" w:hAnsiTheme="minorEastAsia" w:eastAsiaTheme="minorEastAsia" w:cstheme="minorBidi"/>
                <w:sz w:val="22"/>
                <w:szCs w:val="22"/>
                <w:lang w:eastAsia="zh-CN"/>
              </w:rPr>
              <w:t>供应商需要采购人提供的附加条件</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bl>
    <w:p>
      <w:pPr>
        <w:pStyle w:val="16"/>
        <w:spacing w:before="10"/>
        <w:rPr>
          <w:rFonts w:asciiTheme="minorEastAsia" w:hAnsiTheme="minorEastAsia" w:eastAsiaTheme="minorEastAsia"/>
          <w:sz w:val="22"/>
          <w:szCs w:val="22"/>
        </w:rPr>
      </w:pPr>
    </w:p>
    <w:p>
      <w:pPr>
        <w:spacing w:line="252" w:lineRule="exact"/>
        <w:ind w:left="106" w:right="185"/>
        <w:rPr>
          <w:rFonts w:asciiTheme="minorEastAsia" w:hAnsiTheme="minorEastAsia" w:eastAsiaTheme="minorEastAsia"/>
          <w:sz w:val="22"/>
          <w:szCs w:val="22"/>
        </w:rPr>
      </w:pPr>
      <w:r>
        <w:rPr>
          <w:rFonts w:asciiTheme="minorEastAsia" w:hAnsiTheme="minorEastAsia" w:eastAsiaTheme="minorEastAsia"/>
          <w:sz w:val="22"/>
          <w:szCs w:val="22"/>
        </w:rPr>
        <w:t>注：供应商完成本项目需要采购人配合或提供的条件必须在上表列出，否则将视为供应商同意按现有条件完成 本项目。如上表所列附加条件含有采购人不能接受的，将被视为</w:t>
      </w:r>
      <w:r>
        <w:rPr>
          <w:rFonts w:hint="eastAsia" w:asciiTheme="minorEastAsia" w:hAnsiTheme="minorEastAsia" w:eastAsiaTheme="minorEastAsia"/>
          <w:sz w:val="22"/>
          <w:szCs w:val="22"/>
        </w:rPr>
        <w:t>投标</w:t>
      </w:r>
      <w:r>
        <w:rPr>
          <w:rFonts w:asciiTheme="minorEastAsia" w:hAnsiTheme="minorEastAsia" w:eastAsiaTheme="minorEastAsia"/>
          <w:sz w:val="22"/>
          <w:szCs w:val="22"/>
        </w:rPr>
        <w:t>无效。</w:t>
      </w:r>
    </w:p>
    <w:p>
      <w:pPr>
        <w:spacing w:line="252"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格式二十三：（以下格式文件由供应商根据需要选用）</w:t>
      </w:r>
    </w:p>
    <w:p>
      <w:pPr>
        <w:pStyle w:val="16"/>
        <w:spacing w:before="11"/>
        <w:rPr>
          <w:rFonts w:asciiTheme="minorEastAsia" w:hAnsiTheme="minorEastAsia" w:eastAsiaTheme="minorEastAsia"/>
          <w:sz w:val="22"/>
          <w:szCs w:val="22"/>
        </w:rPr>
      </w:pPr>
    </w:p>
    <w:p>
      <w:pPr>
        <w:pStyle w:val="136"/>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询问函、质疑函、投诉书格式</w:t>
      </w:r>
    </w:p>
    <w:p>
      <w:pPr>
        <w:spacing w:before="48"/>
        <w:ind w:left="856"/>
        <w:rPr>
          <w:rFonts w:asciiTheme="minorEastAsia" w:hAnsiTheme="minorEastAsia" w:eastAsiaTheme="minorEastAsia"/>
          <w:sz w:val="22"/>
          <w:szCs w:val="22"/>
        </w:rPr>
      </w:pPr>
      <w:r>
        <w:rPr>
          <w:rFonts w:asciiTheme="minorEastAsia" w:hAnsiTheme="minorEastAsia" w:eastAsiaTheme="minorEastAsia"/>
          <w:sz w:val="22"/>
          <w:szCs w:val="22"/>
        </w:rPr>
        <w:t>说明：本部分格式为供应商提交询问函、质疑函、投诉函时使用，不属于响应文件格式的组成部分。</w:t>
      </w:r>
    </w:p>
    <w:p>
      <w:pPr>
        <w:pStyle w:val="16"/>
        <w:spacing w:before="4"/>
        <w:rPr>
          <w:rFonts w:asciiTheme="minorEastAsia" w:hAnsiTheme="minorEastAsia" w:eastAsiaTheme="minorEastAsia"/>
          <w:sz w:val="22"/>
          <w:szCs w:val="22"/>
        </w:rPr>
      </w:pPr>
    </w:p>
    <w:p>
      <w:pPr>
        <w:ind w:left="3977" w:right="3708"/>
        <w:jc w:val="center"/>
        <w:rPr>
          <w:rFonts w:asciiTheme="minorEastAsia" w:hAnsiTheme="minorEastAsia" w:eastAsiaTheme="minorEastAsia"/>
          <w:sz w:val="22"/>
          <w:szCs w:val="22"/>
        </w:rPr>
      </w:pPr>
      <w:r>
        <w:rPr>
          <w:rFonts w:asciiTheme="minorEastAsia" w:hAnsiTheme="minorEastAsia" w:eastAsiaTheme="minorEastAsia"/>
          <w:sz w:val="22"/>
          <w:szCs w:val="22"/>
        </w:rPr>
        <w:t>询问函</w:t>
      </w:r>
    </w:p>
    <w:p>
      <w:pPr>
        <w:spacing w:before="157"/>
        <w:ind w:left="106"/>
        <w:rPr>
          <w:rFonts w:asciiTheme="minorEastAsia" w:hAnsiTheme="minorEastAsia" w:eastAsiaTheme="minorEastAsia"/>
          <w:sz w:val="22"/>
          <w:szCs w:val="22"/>
        </w:rPr>
      </w:pP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before="133" w:line="269" w:lineRule="exact"/>
        <w:ind w:left="322"/>
        <w:rPr>
          <w:rFonts w:asciiTheme="minorEastAsia" w:hAnsiTheme="minorEastAsia" w:eastAsiaTheme="minorEastAsia"/>
          <w:w w:val="105"/>
          <w:sz w:val="22"/>
          <w:szCs w:val="22"/>
        </w:rPr>
      </w:pPr>
      <w:r>
        <w:rPr>
          <w:rFonts w:asciiTheme="minorEastAsia" w:hAnsiTheme="minorEastAsia" w:eastAsiaTheme="minorEastAsia"/>
          <w:spacing w:val="1"/>
          <w:w w:val="102"/>
          <w:sz w:val="22"/>
          <w:szCs w:val="22"/>
        </w:rPr>
        <w:t>我单位已登记并准备参与</w:t>
      </w:r>
      <w:r>
        <w:rPr>
          <w:rFonts w:hint="eastAsia" w:asciiTheme="minorEastAsia" w:hAnsiTheme="minorEastAsia" w:eastAsiaTheme="minorEastAsia"/>
          <w:spacing w:val="1"/>
          <w:w w:val="102"/>
          <w:sz w:val="22"/>
          <w:szCs w:val="22"/>
          <w:u w:val="single"/>
        </w:rPr>
        <w:t xml:space="preserve">                                                             </w:t>
      </w:r>
      <w:r>
        <w:rPr>
          <w:rFonts w:asciiTheme="minorEastAsia" w:hAnsiTheme="minorEastAsia" w:eastAsiaTheme="minorEastAsia"/>
          <w:spacing w:val="1"/>
          <w:w w:val="102"/>
          <w:sz w:val="22"/>
          <w:szCs w:val="22"/>
        </w:rPr>
        <w:t>项目（项目编号：</w:t>
      </w:r>
      <w:r>
        <w:rPr>
          <w:rFonts w:hint="eastAsia" w:asciiTheme="minorEastAsia" w:hAnsiTheme="minorEastAsia" w:eastAsiaTheme="minorEastAsia"/>
          <w:spacing w:val="1"/>
          <w:w w:val="102"/>
          <w:sz w:val="22"/>
          <w:szCs w:val="22"/>
          <w:u w:val="single"/>
        </w:rPr>
        <w:t xml:space="preserve">                         </w:t>
      </w:r>
      <w:r>
        <w:rPr>
          <w:rFonts w:asciiTheme="minorEastAsia" w:hAnsiTheme="minorEastAsia" w:eastAsiaTheme="minorEastAsia"/>
          <w:w w:val="105"/>
          <w:sz w:val="22"/>
          <w:szCs w:val="22"/>
        </w:rPr>
        <w:t>）的投标响应活动，现有以下几个内容（或条款）存在疑问（或无法理解），特提出询问。</w:t>
      </w:r>
    </w:p>
    <w:p>
      <w:pPr>
        <w:spacing w:before="133" w:line="269" w:lineRule="exact"/>
        <w:ind w:left="322" w:firstLine="759" w:firstLineChars="300"/>
        <w:rPr>
          <w:rFonts w:asciiTheme="minorEastAsia" w:hAnsiTheme="minorEastAsia" w:eastAsiaTheme="minorEastAsia"/>
          <w:sz w:val="22"/>
          <w:szCs w:val="22"/>
        </w:rPr>
      </w:pPr>
      <w:r>
        <w:rPr>
          <w:rFonts w:asciiTheme="minorEastAsia" w:hAnsiTheme="minorEastAsia" w:eastAsiaTheme="minorEastAsia"/>
          <w:w w:val="115"/>
          <w:sz w:val="22"/>
          <w:szCs w:val="22"/>
        </w:rPr>
        <w:t>一、</w:t>
      </w:r>
      <w:r>
        <w:rPr>
          <w:rFonts w:asciiTheme="minorEastAsia" w:hAnsiTheme="minorEastAsia" w:eastAsiaTheme="minorEastAsia"/>
          <w:w w:val="115"/>
          <w:sz w:val="22"/>
          <w:szCs w:val="22"/>
          <w:u w:val="single" w:color="202020"/>
        </w:rPr>
        <w:t xml:space="preserve"> </w:t>
      </w:r>
      <w:r>
        <w:rPr>
          <w:rFonts w:asciiTheme="minorEastAsia" w:hAnsiTheme="minorEastAsia" w:eastAsiaTheme="minorEastAsia"/>
          <w:w w:val="115"/>
          <w:sz w:val="22"/>
          <w:szCs w:val="22"/>
          <w:u w:val="single" w:color="202020"/>
        </w:rPr>
        <w:tab/>
      </w:r>
      <w:r>
        <w:rPr>
          <w:rFonts w:hint="eastAsia" w:asciiTheme="minorEastAsia" w:hAnsiTheme="minorEastAsia" w:eastAsiaTheme="minorEastAsia"/>
          <w:w w:val="115"/>
          <w:sz w:val="22"/>
          <w:szCs w:val="22"/>
          <w:u w:val="single" w:color="202020"/>
        </w:rPr>
        <w:t xml:space="preserve">                          </w:t>
      </w:r>
      <w:r>
        <w:rPr>
          <w:rFonts w:asciiTheme="minorEastAsia" w:hAnsiTheme="minorEastAsia" w:eastAsiaTheme="minorEastAsia"/>
          <w:sz w:val="22"/>
          <w:szCs w:val="22"/>
        </w:rPr>
        <w:t>（事项一）</w:t>
      </w:r>
    </w:p>
    <w:p>
      <w:pPr>
        <w:pStyle w:val="106"/>
        <w:numPr>
          <w:ilvl w:val="2"/>
          <w:numId w:val="5"/>
        </w:numPr>
        <w:tabs>
          <w:tab w:val="left" w:pos="1439"/>
          <w:tab w:val="left" w:pos="3598"/>
        </w:tabs>
        <w:autoSpaceDE w:val="0"/>
        <w:autoSpaceDN w:val="0"/>
        <w:spacing w:before="5" w:line="221" w:lineRule="exact"/>
        <w:ind w:hanging="564" w:firstLineChars="0"/>
        <w:jc w:val="left"/>
        <w:rPr>
          <w:rFonts w:asciiTheme="minorEastAsia" w:hAnsiTheme="minorEastAsia" w:eastAsiaTheme="minorEastAsia"/>
          <w:sz w:val="22"/>
        </w:rPr>
      </w:pPr>
      <w:r>
        <w:rPr>
          <w:rFonts w:asciiTheme="minorEastAsia" w:hAnsiTheme="minorEastAsia" w:eastAsiaTheme="minorEastAsia"/>
          <w:w w:val="102"/>
          <w:sz w:val="22"/>
          <w:u w:val="single" w:color="202020"/>
        </w:rPr>
        <w:t xml:space="preserve"> </w:t>
      </w:r>
      <w:r>
        <w:rPr>
          <w:rFonts w:asciiTheme="minorEastAsia" w:hAnsiTheme="minorEastAsia" w:eastAsiaTheme="minorEastAsia"/>
          <w:sz w:val="22"/>
          <w:u w:val="single" w:color="202020"/>
        </w:rPr>
        <w:tab/>
      </w:r>
      <w:r>
        <w:rPr>
          <w:rFonts w:asciiTheme="minorEastAsia" w:hAnsiTheme="minorEastAsia" w:eastAsiaTheme="minorEastAsia"/>
          <w:sz w:val="22"/>
        </w:rPr>
        <w:t>（问题或条款内容）</w:t>
      </w:r>
    </w:p>
    <w:p>
      <w:pPr>
        <w:pStyle w:val="106"/>
        <w:numPr>
          <w:ilvl w:val="2"/>
          <w:numId w:val="5"/>
        </w:numPr>
        <w:tabs>
          <w:tab w:val="left" w:pos="1439"/>
          <w:tab w:val="left" w:pos="3598"/>
        </w:tabs>
        <w:autoSpaceDE w:val="0"/>
        <w:autoSpaceDN w:val="0"/>
        <w:spacing w:line="264" w:lineRule="exact"/>
        <w:ind w:hanging="564" w:firstLineChars="0"/>
        <w:jc w:val="left"/>
        <w:rPr>
          <w:rFonts w:asciiTheme="minorEastAsia" w:hAnsiTheme="minorEastAsia" w:eastAsiaTheme="minorEastAsia"/>
          <w:sz w:val="22"/>
        </w:rPr>
      </w:pPr>
      <w:r>
        <w:rPr>
          <w:rFonts w:asciiTheme="minorEastAsia" w:hAnsiTheme="minorEastAsia" w:eastAsiaTheme="minorEastAsia"/>
          <w:w w:val="102"/>
          <w:sz w:val="22"/>
          <w:u w:val="single" w:color="202020"/>
        </w:rPr>
        <w:t xml:space="preserve"> </w:t>
      </w:r>
      <w:r>
        <w:rPr>
          <w:rFonts w:asciiTheme="minorEastAsia" w:hAnsiTheme="minorEastAsia" w:eastAsiaTheme="minorEastAsia"/>
          <w:sz w:val="22"/>
          <w:u w:val="single" w:color="202020"/>
        </w:rPr>
        <w:tab/>
      </w:r>
      <w:r>
        <w:rPr>
          <w:rFonts w:asciiTheme="minorEastAsia" w:hAnsiTheme="minorEastAsia" w:eastAsiaTheme="minorEastAsia"/>
          <w:sz w:val="22"/>
        </w:rPr>
        <w:t>（说明疑问或无法理解原因）</w:t>
      </w:r>
    </w:p>
    <w:p>
      <w:pPr>
        <w:pStyle w:val="106"/>
        <w:numPr>
          <w:ilvl w:val="2"/>
          <w:numId w:val="5"/>
        </w:numPr>
        <w:tabs>
          <w:tab w:val="left" w:pos="1439"/>
          <w:tab w:val="left" w:pos="3598"/>
        </w:tabs>
        <w:autoSpaceDE w:val="0"/>
        <w:autoSpaceDN w:val="0"/>
        <w:spacing w:line="264" w:lineRule="exact"/>
        <w:ind w:hanging="564" w:firstLineChars="0"/>
        <w:jc w:val="left"/>
        <w:rPr>
          <w:rFonts w:asciiTheme="minorEastAsia" w:hAnsiTheme="minorEastAsia" w:eastAsiaTheme="minorEastAsia"/>
          <w:sz w:val="22"/>
        </w:rPr>
      </w:pPr>
      <w:r>
        <w:rPr>
          <w:rFonts w:hint="eastAsia" w:asciiTheme="minorEastAsia" w:hAnsiTheme="minorEastAsia" w:eastAsiaTheme="minorEastAsia"/>
          <w:sz w:val="22"/>
          <w:u w:val="single"/>
        </w:rPr>
        <w:t xml:space="preserve">                      </w:t>
      </w:r>
      <w:r>
        <w:rPr>
          <w:rFonts w:asciiTheme="minorEastAsia" w:hAnsiTheme="minorEastAsia" w:eastAsiaTheme="minorEastAsia"/>
          <w:sz w:val="22"/>
        </w:rPr>
        <w:t>（建议）</w:t>
      </w:r>
    </w:p>
    <w:p>
      <w:pPr>
        <w:tabs>
          <w:tab w:val="left" w:pos="1439"/>
          <w:tab w:val="left" w:pos="3598"/>
        </w:tabs>
        <w:spacing w:line="264" w:lineRule="exact"/>
        <w:ind w:left="874" w:firstLine="220" w:firstLineChars="100"/>
        <w:rPr>
          <w:rFonts w:asciiTheme="minorEastAsia" w:hAnsiTheme="minorEastAsia" w:eastAsiaTheme="minorEastAsia"/>
          <w:sz w:val="22"/>
          <w:szCs w:val="22"/>
        </w:rPr>
      </w:pPr>
      <w:r>
        <w:rPr>
          <w:rFonts w:asciiTheme="minorEastAsia" w:hAnsiTheme="minorEastAsia" w:eastAsiaTheme="minorEastAsia"/>
          <w:sz w:val="22"/>
          <w:szCs w:val="22"/>
        </w:rPr>
        <w:t xml:space="preserve">二、 </w:t>
      </w:r>
      <w:r>
        <w:rPr>
          <w:rFonts w:asciiTheme="minorEastAsia" w:hAnsiTheme="minorEastAsia" w:eastAsiaTheme="minorEastAsia"/>
          <w:sz w:val="22"/>
          <w:szCs w:val="22"/>
        </w:rPr>
        <w:tab/>
      </w:r>
      <w:r>
        <w:rPr>
          <w:rFonts w:asciiTheme="minorEastAsia" w:hAnsiTheme="minorEastAsia" w:eastAsiaTheme="minorEastAsia"/>
          <w:sz w:val="22"/>
          <w:szCs w:val="22"/>
        </w:rPr>
        <w:t>（事项二）</w:t>
      </w:r>
    </w:p>
    <w:p>
      <w:pPr>
        <w:pStyle w:val="106"/>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w:t>
      </w:r>
    </w:p>
    <w:p>
      <w:pPr>
        <w:pStyle w:val="106"/>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随附相关证明材料如下：（目录）。</w:t>
      </w:r>
    </w:p>
    <w:p>
      <w:pPr>
        <w:tabs>
          <w:tab w:val="left" w:pos="1439"/>
          <w:tab w:val="left" w:pos="3598"/>
        </w:tabs>
        <w:spacing w:line="264" w:lineRule="exact"/>
        <w:ind w:left="873" w:firstLine="1100" w:firstLineChars="500"/>
        <w:rPr>
          <w:rFonts w:asciiTheme="minorEastAsia" w:hAnsiTheme="minorEastAsia" w:eastAsiaTheme="minorEastAsia"/>
          <w:sz w:val="22"/>
          <w:szCs w:val="22"/>
        </w:rPr>
      </w:pPr>
      <w:r>
        <w:rPr>
          <w:rFonts w:asciiTheme="minorEastAsia" w:hAnsiTheme="minorEastAsia" w:eastAsiaTheme="minorEastAsia"/>
          <w:sz w:val="22"/>
          <w:szCs w:val="22"/>
        </w:rPr>
        <w:t>询问人：（公章）</w:t>
      </w:r>
    </w:p>
    <w:p>
      <w:pPr>
        <w:pStyle w:val="106"/>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法定代表人（授权代表）： 地址/邮编：</w:t>
      </w:r>
    </w:p>
    <w:p>
      <w:pPr>
        <w:pStyle w:val="106"/>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电话/传真：</w:t>
      </w:r>
    </w:p>
    <w:p>
      <w:pPr>
        <w:tabs>
          <w:tab w:val="left" w:pos="1439"/>
          <w:tab w:val="left" w:pos="2760"/>
        </w:tabs>
        <w:spacing w:line="264" w:lineRule="exact"/>
        <w:ind w:left="873" w:firstLine="660" w:firstLineChars="300"/>
        <w:jc w:val="right"/>
        <w:rPr>
          <w:rFonts w:asciiTheme="minorEastAsia" w:hAnsiTheme="minorEastAsia" w:eastAsiaTheme="minorEastAsia"/>
          <w:sz w:val="22"/>
          <w:szCs w:val="22"/>
        </w:rPr>
      </w:pPr>
      <w:r>
        <w:rPr>
          <w:rFonts w:asciiTheme="minorEastAsia" w:hAnsiTheme="minorEastAsia" w:eastAsiaTheme="minorEastAsia"/>
          <w:sz w:val="22"/>
          <w:szCs w:val="22"/>
        </w:rPr>
        <w:t>日期：</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月</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日</w:t>
      </w:r>
    </w:p>
    <w:p>
      <w:pPr>
        <w:tabs>
          <w:tab w:val="left" w:pos="1439"/>
          <w:tab w:val="left" w:pos="3598"/>
        </w:tabs>
        <w:spacing w:line="264" w:lineRule="exact"/>
        <w:ind w:left="873" w:firstLine="660" w:firstLineChars="300"/>
        <w:jc w:val="lef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6"/>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质疑函</w:t>
      </w:r>
    </w:p>
    <w:p>
      <w:pPr>
        <w:pStyle w:val="16"/>
        <w:spacing w:before="8"/>
        <w:rPr>
          <w:rFonts w:asciiTheme="minorEastAsia" w:hAnsiTheme="minorEastAsia" w:eastAsiaTheme="minorEastAsia"/>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一、质疑供应商基本信息质疑供应商：</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   </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邮 编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联系人</w:t>
      </w:r>
      <w:r>
        <w:rPr>
          <w:rFonts w:hint="eastAsia" w:asciiTheme="minorEastAsia" w:hAnsiTheme="minorEastAsia" w:eastAsiaTheme="minorEastAsia"/>
          <w:spacing w:val="1"/>
          <w:w w:val="102"/>
          <w:sz w:val="22"/>
          <w:szCs w:val="22"/>
        </w:rPr>
        <w:t>：</w:t>
      </w:r>
      <w:r>
        <w:rPr>
          <w:rFonts w:asciiTheme="minorEastAsia" w:hAnsiTheme="minorEastAsia" w:eastAsiaTheme="minorEastAsia"/>
          <w:spacing w:val="1"/>
          <w:w w:val="102"/>
          <w:sz w:val="22"/>
          <w:szCs w:val="22"/>
        </w:rPr>
        <w:tab/>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联系电话：</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授权代表：</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联系电话：</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  </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邮 编 ：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二、质疑项目基本情况质疑项目的名称：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质疑项目的编号：</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包号：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采购人名称：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采购文件获取日期：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三、质疑事项具体内容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质疑事项1：</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事实依据：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法律依据：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质疑事项2</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四、与质疑事项相关的质疑请求</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请求：</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签字(签章)：</w:t>
      </w:r>
      <w:r>
        <w:rPr>
          <w:rFonts w:asciiTheme="minorEastAsia" w:hAnsiTheme="minorEastAsia" w:eastAsiaTheme="minorEastAsia"/>
          <w:spacing w:val="1"/>
          <w:w w:val="102"/>
          <w:sz w:val="22"/>
          <w:szCs w:val="22"/>
        </w:rPr>
        <w:tab/>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公章：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日期：</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质疑函制作说明：</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1.供应商提出质疑时，应提交质疑函和必要的证明材料。</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3.质疑供应商若对项目的某一分包进行质疑，质疑函中应列明具体分包号。</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4.质疑函的质疑事项应具体、明确，并有必要的事实依据和法律依据。</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5.质疑函的质疑请求应与质疑事项相关。</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6.质疑供应商为自然人的，质疑函应由本人签字；质疑供应商为法人或者其他组织的，质疑函应由法定代表人、主要负责人，或者其授权代表签字或者盖章，并加盖公章。</w:t>
      </w:r>
    </w:p>
    <w:p>
      <w:pPr>
        <w:spacing w:line="254"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6"/>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投 诉 书</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一、投诉相关主体基本情况投诉人：</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邮编：</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法定代表人/主要负责人：</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联系电话：</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授权代表：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邮编：</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被投诉人1：</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邮编： </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联系人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被投诉人2</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相关供应商：</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邮编： </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联系人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二、投诉项目基本情况</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采购项目名称：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项目编号：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包号：</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采购人名称：</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代理机构名称：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采购文件公告:是/否 公告期限： 采购结果公告:是/否 公告期限：</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 三、质疑基本情况</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投诉人于 年 月 日,向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提出质疑，质疑事项为：</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pict>
          <v:group id="_x0000_s1026" o:spid="_x0000_s1026" o:spt="203" style="height:0.6pt;width:4.25pt;" coordsize="85,12">
            <o:lock v:ext="edit"/>
            <v:line id="_x0000_s1027" o:spid="_x0000_s1027" o:spt="20" style="position:absolute;left:6;top:6;height:0;width:72;" stroked="t" coordsize="21600,21600">
              <v:path arrowok="t"/>
              <v:fill focussize="0,0"/>
              <v:stroke weight="0.600157480314961pt" color="#212121"/>
              <v:imagedata o:title=""/>
              <o:lock v:ext="edit"/>
            </v:line>
            <w10:wrap type="none"/>
            <w10:anchorlock/>
          </v:group>
        </w:pic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采购人/代理机构于  年  月  日,就质疑事项作出了答复/没有在法定期限内作出答复。</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四、投诉事项具体内容</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投诉事项 1：</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事实依据： 法律依据： 投诉事项2</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五、与投诉事项相关的投诉请求</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请求：</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签字(签章)：</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公章： 日期：</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投诉书制作说明：</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1.投诉人提起投诉时，应当提交投诉书和必要的证明材料，并按照被投诉人和与投诉事项有关的供应商数量提供投诉书副本。</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3.投诉人若对项目的某一分包进行投诉，投诉书应列明具体分包号。</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4.投诉书应简要列明质疑事项，质疑函、质疑答复等作为附件材料提供。</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5.投诉书的投诉事项应具体、明确，并有必要的事实依据和法律依据。</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6.投诉书的投诉请求应与投诉事项相关</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7.投诉人为自然人的，投诉书应当由本人签字；投诉人为法人或者其他组织的，投诉书应当由法定代表人、主要负责人，或者其授权代表签字或者盖章，并加盖公章。</w:t>
      </w:r>
    </w:p>
    <w:p>
      <w:pPr>
        <w:spacing w:line="240"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格式二十四：</w:t>
      </w:r>
    </w:p>
    <w:p>
      <w:pPr>
        <w:pStyle w:val="136"/>
        <w:spacing w:before="1"/>
        <w:ind w:left="53"/>
        <w:jc w:val="center"/>
        <w:rPr>
          <w:rFonts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唱标</w:t>
      </w:r>
      <w:r>
        <w:rPr>
          <w:rFonts w:asciiTheme="minorEastAsia" w:hAnsiTheme="minorEastAsia" w:eastAsiaTheme="minorEastAsia"/>
          <w:sz w:val="22"/>
          <w:szCs w:val="22"/>
          <w:lang w:eastAsia="zh-CN"/>
        </w:rPr>
        <w:t>信封（独立封装）</w:t>
      </w:r>
    </w:p>
    <w:p>
      <w:pPr>
        <w:pStyle w:val="16"/>
        <w:spacing w:before="5"/>
        <w:rPr>
          <w:rFonts w:asciiTheme="minorEastAsia" w:hAnsiTheme="minorEastAsia" w:eastAsiaTheme="minorEastAsia"/>
          <w:sz w:val="22"/>
          <w:szCs w:val="22"/>
        </w:rPr>
      </w:pPr>
    </w:p>
    <w:p>
      <w:pPr>
        <w:tabs>
          <w:tab w:val="left" w:pos="448"/>
        </w:tabs>
        <w:autoSpaceDE w:val="0"/>
        <w:autoSpaceDN w:val="0"/>
        <w:spacing w:before="205"/>
        <w:jc w:val="left"/>
        <w:rPr>
          <w:rFonts w:asciiTheme="minorEastAsia" w:hAnsiTheme="minorEastAsia" w:eastAsiaTheme="minorEastAsia"/>
          <w:sz w:val="22"/>
        </w:rPr>
      </w:pPr>
      <w:r>
        <w:rPr>
          <w:rFonts w:asciiTheme="minorEastAsia" w:hAnsiTheme="minorEastAsia" w:eastAsiaTheme="minorEastAsia"/>
          <w:sz w:val="22"/>
        </w:rPr>
        <w:t>将下列内容单独密封装入“唱标信封”。</w:t>
      </w:r>
    </w:p>
    <w:p>
      <w:pPr>
        <w:tabs>
          <w:tab w:val="left" w:pos="448"/>
        </w:tabs>
        <w:autoSpaceDE w:val="0"/>
        <w:autoSpaceDN w:val="0"/>
        <w:spacing w:before="205"/>
        <w:jc w:val="left"/>
        <w:rPr>
          <w:rFonts w:asciiTheme="minorEastAsia" w:hAnsiTheme="minorEastAsia" w:eastAsiaTheme="minorEastAsia"/>
          <w:sz w:val="22"/>
        </w:rPr>
      </w:pPr>
      <w:r>
        <w:rPr>
          <w:rFonts w:asciiTheme="minorEastAsia" w:hAnsiTheme="minorEastAsia" w:eastAsiaTheme="minorEastAsia"/>
          <w:sz w:val="22"/>
        </w:rPr>
        <w:t>1.1《报价一览表》、《投标明细报价表》(从投标文件正本中复印并盖章)</w:t>
      </w:r>
    </w:p>
    <w:p>
      <w:pPr>
        <w:tabs>
          <w:tab w:val="left" w:pos="448"/>
        </w:tabs>
        <w:autoSpaceDE w:val="0"/>
        <w:autoSpaceDN w:val="0"/>
        <w:spacing w:before="205"/>
        <w:jc w:val="left"/>
        <w:rPr>
          <w:rFonts w:asciiTheme="minorEastAsia" w:hAnsiTheme="minorEastAsia" w:eastAsiaTheme="minorEastAsia"/>
          <w:sz w:val="22"/>
        </w:rPr>
      </w:pPr>
      <w:r>
        <w:rPr>
          <w:rFonts w:asciiTheme="minorEastAsia" w:hAnsiTheme="minorEastAsia" w:eastAsiaTheme="minorEastAsia"/>
          <w:sz w:val="22"/>
        </w:rPr>
        <w:t>1.2 优惠或折扣说明（如有）、《中小企业声明函》（如有）、《残疾人福利性单位声明函》（如有）、《监狱企业证明文件》（如有）</w:t>
      </w:r>
    </w:p>
    <w:p>
      <w:pPr>
        <w:tabs>
          <w:tab w:val="left" w:pos="448"/>
        </w:tabs>
        <w:autoSpaceDE w:val="0"/>
        <w:autoSpaceDN w:val="0"/>
        <w:spacing w:before="205"/>
        <w:jc w:val="left"/>
        <w:rPr>
          <w:rFonts w:asciiTheme="minorEastAsia" w:hAnsiTheme="minorEastAsia" w:eastAsiaTheme="minorEastAsia"/>
          <w:sz w:val="22"/>
        </w:rPr>
      </w:pPr>
      <w:r>
        <w:rPr>
          <w:rFonts w:asciiTheme="minorEastAsia" w:hAnsiTheme="minorEastAsia" w:eastAsiaTheme="minorEastAsia"/>
          <w:sz w:val="22"/>
        </w:rPr>
        <w:t>1.3《投标保函》原件，或《政府采购投标担保函》原件或交付投标保证金（非保函形式）的银行回单复印件。</w:t>
      </w:r>
    </w:p>
    <w:p>
      <w:pPr>
        <w:tabs>
          <w:tab w:val="left" w:pos="448"/>
        </w:tabs>
        <w:autoSpaceDE w:val="0"/>
        <w:autoSpaceDN w:val="0"/>
        <w:spacing w:before="205"/>
        <w:jc w:val="left"/>
        <w:rPr>
          <w:rFonts w:asciiTheme="minorEastAsia" w:hAnsiTheme="minorEastAsia" w:eastAsiaTheme="minorEastAsia"/>
          <w:sz w:val="22"/>
          <w:szCs w:val="22"/>
        </w:rPr>
      </w:pPr>
      <w:r>
        <w:rPr>
          <w:rFonts w:asciiTheme="minorEastAsia" w:hAnsiTheme="minorEastAsia" w:eastAsiaTheme="minorEastAsia"/>
          <w:sz w:val="22"/>
        </w:rPr>
        <w:t>1.4《采购代理费支付承诺书》原件</w:t>
      </w:r>
    </w:p>
    <w:p>
      <w:pPr>
        <w:spacing w:before="1"/>
        <w:ind w:left="106"/>
        <w:rPr>
          <w:rFonts w:asciiTheme="minorEastAsia" w:hAnsiTheme="minorEastAsia" w:eastAsiaTheme="minorEastAsia"/>
          <w:w w:val="95"/>
          <w:sz w:val="22"/>
          <w:szCs w:val="22"/>
        </w:rPr>
      </w:pPr>
    </w:p>
    <w:p>
      <w:pPr>
        <w:spacing w:before="1"/>
        <w:ind w:left="106"/>
        <w:rPr>
          <w:rFonts w:asciiTheme="minorEastAsia" w:hAnsiTheme="minorEastAsia" w:eastAsiaTheme="minorEastAsia"/>
          <w:w w:val="95"/>
          <w:sz w:val="22"/>
          <w:szCs w:val="22"/>
        </w:rPr>
      </w:pPr>
    </w:p>
    <w:p>
      <w:pPr>
        <w:spacing w:before="1"/>
        <w:ind w:left="106"/>
        <w:rPr>
          <w:rFonts w:asciiTheme="minorEastAsia" w:hAnsiTheme="minorEastAsia" w:eastAsiaTheme="minorEastAsia"/>
          <w:w w:val="95"/>
          <w:sz w:val="22"/>
          <w:szCs w:val="22"/>
        </w:rPr>
      </w:pPr>
    </w:p>
    <w:p>
      <w:pPr>
        <w:spacing w:line="398"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格式二十五：</w:t>
      </w:r>
    </w:p>
    <w:p>
      <w:pPr>
        <w:spacing w:before="168"/>
        <w:ind w:left="53"/>
        <w:jc w:val="center"/>
        <w:rPr>
          <w:rFonts w:asciiTheme="minorEastAsia" w:hAnsiTheme="minorEastAsia" w:eastAsiaTheme="minorEastAsia"/>
          <w:sz w:val="22"/>
          <w:szCs w:val="22"/>
        </w:rPr>
      </w:pPr>
      <w:r>
        <w:rPr>
          <w:rFonts w:asciiTheme="minorEastAsia" w:hAnsiTheme="minorEastAsia" w:eastAsiaTheme="minorEastAsia"/>
          <w:sz w:val="22"/>
          <w:szCs w:val="22"/>
        </w:rPr>
        <w:t>项目实施方案、质量保证及售后服务承诺等内容和格式自拟。</w:t>
      </w: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w:t>
      </w:r>
      <w:r>
        <w:rPr>
          <w:rFonts w:hint="eastAsia" w:asciiTheme="minorEastAsia" w:hAnsiTheme="minorEastAsia" w:eastAsiaTheme="minorEastAsia"/>
          <w:sz w:val="22"/>
          <w:szCs w:val="22"/>
        </w:rPr>
        <w:t>六</w:t>
      </w:r>
      <w:r>
        <w:rPr>
          <w:rFonts w:asciiTheme="minorEastAsia" w:hAnsiTheme="minorEastAsia" w:eastAsiaTheme="minorEastAsia"/>
          <w:sz w:val="22"/>
          <w:szCs w:val="22"/>
        </w:rPr>
        <w:t>：</w:t>
      </w:r>
    </w:p>
    <w:p>
      <w:pPr>
        <w:pStyle w:val="136"/>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附件（以下格式文件由供应商根据需要选用）</w:t>
      </w:r>
    </w:p>
    <w:p>
      <w:pPr>
        <w:pStyle w:val="16"/>
        <w:spacing w:before="7"/>
        <w:jc w:val="center"/>
        <w:rPr>
          <w:rFonts w:asciiTheme="minorEastAsia" w:hAnsiTheme="minorEastAsia" w:eastAsiaTheme="minorEastAsia"/>
          <w:sz w:val="22"/>
          <w:szCs w:val="22"/>
        </w:rPr>
      </w:pPr>
    </w:p>
    <w:p>
      <w:pPr>
        <w:pStyle w:val="16"/>
        <w:spacing w:before="7"/>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投标（相应）担保函</w:t>
      </w:r>
    </w:p>
    <w:p>
      <w:pPr>
        <w:tabs>
          <w:tab w:val="left" w:pos="448"/>
        </w:tabs>
        <w:autoSpaceDE w:val="0"/>
        <w:autoSpaceDN w:val="0"/>
        <w:spacing w:before="205"/>
        <w:jc w:val="center"/>
        <w:rPr>
          <w:rFonts w:asciiTheme="minorEastAsia" w:hAnsiTheme="minorEastAsia" w:eastAsiaTheme="minorEastAsia"/>
          <w:sz w:val="22"/>
        </w:rPr>
      </w:pPr>
      <w:r>
        <w:rPr>
          <w:rFonts w:hint="eastAsia" w:asciiTheme="minorEastAsia" w:hAnsiTheme="minorEastAsia" w:eastAsiaTheme="minorEastAsia"/>
          <w:sz w:val="22"/>
        </w:rPr>
        <w:t>（</w:t>
      </w:r>
      <w:r>
        <w:rPr>
          <w:rFonts w:asciiTheme="minorEastAsia" w:hAnsiTheme="minorEastAsia" w:eastAsiaTheme="minorEastAsia"/>
          <w:sz w:val="22"/>
        </w:rPr>
        <w:t>不符合招标文件要求的保函有被拒收的风险</w:t>
      </w:r>
      <w:r>
        <w:rPr>
          <w:rFonts w:hint="eastAsia" w:asciiTheme="minorEastAsia" w:hAnsiTheme="minorEastAsia" w:eastAsiaTheme="minorEastAsia"/>
          <w:sz w:val="22"/>
        </w:rPr>
        <w:t>）</w:t>
      </w:r>
    </w:p>
    <w:p>
      <w:pPr>
        <w:tabs>
          <w:tab w:val="left" w:pos="448"/>
        </w:tabs>
        <w:autoSpaceDE w:val="0"/>
        <w:autoSpaceDN w:val="0"/>
        <w:spacing w:before="205"/>
        <w:jc w:val="left"/>
        <w:rPr>
          <w:rFonts w:asciiTheme="minorEastAsia" w:hAnsiTheme="minorEastAsia" w:eastAsiaTheme="minorEastAsia"/>
          <w:sz w:val="22"/>
        </w:rPr>
      </w:pPr>
      <w:r>
        <w:rPr>
          <w:rFonts w:asciiTheme="minorEastAsia" w:hAnsiTheme="minorEastAsia" w:eastAsiaTheme="minorEastAsia"/>
          <w:sz w:val="22"/>
        </w:rPr>
        <w:t>开具日期：</w:t>
      </w:r>
      <w:r>
        <w:rPr>
          <w:rFonts w:hint="eastAsia" w:asciiTheme="minorEastAsia" w:hAnsiTheme="minorEastAsia" w:eastAsiaTheme="minorEastAsia"/>
          <w:sz w:val="22"/>
        </w:rPr>
        <w:t xml:space="preserve">  </w:t>
      </w:r>
      <w:r>
        <w:rPr>
          <w:rFonts w:asciiTheme="minorEastAsia" w:hAnsiTheme="minorEastAsia" w:eastAsiaTheme="minorEastAsia"/>
          <w:sz w:val="22"/>
        </w:rPr>
        <w:t>年</w:t>
      </w:r>
      <w:r>
        <w:rPr>
          <w:rFonts w:hint="eastAsia" w:asciiTheme="minorEastAsia" w:hAnsiTheme="minorEastAsia" w:eastAsiaTheme="minorEastAsia"/>
          <w:sz w:val="22"/>
        </w:rPr>
        <w:t xml:space="preserve">  </w:t>
      </w:r>
      <w:r>
        <w:rPr>
          <w:rFonts w:asciiTheme="minorEastAsia" w:hAnsiTheme="minorEastAsia" w:eastAsiaTheme="minorEastAsia"/>
          <w:sz w:val="22"/>
        </w:rPr>
        <w:t>月</w:t>
      </w:r>
      <w:r>
        <w:rPr>
          <w:rFonts w:hint="eastAsia" w:asciiTheme="minorEastAsia" w:hAnsiTheme="minorEastAsia" w:eastAsiaTheme="minorEastAsia"/>
          <w:sz w:val="22"/>
        </w:rPr>
        <w:t xml:space="preserve">  </w:t>
      </w:r>
      <w:r>
        <w:rPr>
          <w:rFonts w:asciiTheme="minorEastAsia" w:hAnsiTheme="minorEastAsia" w:eastAsiaTheme="minorEastAsia"/>
          <w:sz w:val="22"/>
        </w:rPr>
        <w:t>日</w:t>
      </w:r>
      <w:r>
        <w:rPr>
          <w:rFonts w:hint="eastAsia" w:asciiTheme="minorEastAsia" w:hAnsiTheme="minorEastAsia" w:eastAsiaTheme="minorEastAsia"/>
          <w:sz w:val="22"/>
        </w:rPr>
        <w:t xml:space="preserve">                                        </w:t>
      </w:r>
      <w:r>
        <w:rPr>
          <w:rFonts w:asciiTheme="minorEastAsia" w:hAnsiTheme="minorEastAsia" w:eastAsiaTheme="minorEastAsia"/>
          <w:sz w:val="22"/>
        </w:rPr>
        <w:t>不可撤销保函第</w:t>
      </w:r>
      <w:r>
        <w:rPr>
          <w:rFonts w:hint="eastAsia" w:asciiTheme="minorEastAsia" w:hAnsiTheme="minorEastAsia" w:eastAsiaTheme="minorEastAsia"/>
          <w:sz w:val="22"/>
        </w:rPr>
        <w:t xml:space="preserve"> </w:t>
      </w:r>
      <w:r>
        <w:rPr>
          <w:rFonts w:asciiTheme="minorEastAsia" w:hAnsiTheme="minorEastAsia" w:eastAsiaTheme="minorEastAsia"/>
          <w:sz w:val="22"/>
        </w:rPr>
        <w:t>号</w:t>
      </w:r>
    </w:p>
    <w:p>
      <w:pPr>
        <w:tabs>
          <w:tab w:val="left" w:pos="448"/>
        </w:tabs>
        <w:autoSpaceDE w:val="0"/>
        <w:autoSpaceDN w:val="0"/>
        <w:spacing w:before="205"/>
        <w:jc w:val="left"/>
        <w:rPr>
          <w:rFonts w:asciiTheme="minorEastAsia" w:hAnsiTheme="minorEastAsia" w:eastAsiaTheme="minorEastAsia"/>
          <w:sz w:val="22"/>
        </w:rPr>
      </w:pPr>
      <w:r>
        <w:rPr>
          <w:rFonts w:asciiTheme="minorEastAsia" w:hAnsiTheme="minorEastAsia" w:eastAsiaTheme="minorEastAsia"/>
          <w:sz w:val="22"/>
        </w:rPr>
        <w:t>致：</w:t>
      </w:r>
      <w:r>
        <w:rPr>
          <w:rFonts w:hint="eastAsia" w:asciiTheme="minorEastAsia" w:hAnsiTheme="minorEastAsia" w:eastAsiaTheme="minorEastAsia"/>
          <w:sz w:val="22"/>
        </w:rPr>
        <w:t>东莞市</w:t>
      </w:r>
      <w:r>
        <w:rPr>
          <w:rFonts w:asciiTheme="minorEastAsia" w:hAnsiTheme="minorEastAsia" w:eastAsiaTheme="minorEastAsia"/>
          <w:sz w:val="22"/>
        </w:rPr>
        <w:t>中堂镇招投标服务所</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本保函作为()（以下简称投标供应商)响应采购项目编号</w:t>
      </w:r>
      <w:r>
        <w:rPr>
          <w:rFonts w:hint="eastAsia" w:asciiTheme="minorEastAsia" w:hAnsiTheme="minorEastAsia" w:eastAsiaTheme="minorEastAsia"/>
          <w:sz w:val="22"/>
          <w:u w:val="single"/>
        </w:rPr>
        <w:t xml:space="preserve">                         </w:t>
      </w:r>
      <w:r>
        <w:rPr>
          <w:rFonts w:hint="eastAsia" w:asciiTheme="minorEastAsia" w:hAnsiTheme="minorEastAsia" w:eastAsiaTheme="minorEastAsia"/>
          <w:sz w:val="22"/>
        </w:rPr>
        <w:t>的</w:t>
      </w:r>
      <w:r>
        <w:rPr>
          <w:rFonts w:hint="eastAsia" w:asciiTheme="minorEastAsia" w:hAnsiTheme="minorEastAsia" w:eastAsiaTheme="minorEastAsia"/>
          <w:sz w:val="22"/>
          <w:u w:val="single"/>
        </w:rPr>
        <w:t xml:space="preserve">                             </w:t>
      </w:r>
      <w:r>
        <w:rPr>
          <w:rFonts w:asciiTheme="minorEastAsia" w:hAnsiTheme="minorEastAsia" w:eastAsiaTheme="minorEastAsia"/>
          <w:sz w:val="22"/>
        </w:rPr>
        <w:t>采购项目的投标邀请提供的投标保证金，（开具银行机构名称）在此无条件及不可撤销地具结保证并承诺，本行或其后继者或受让人一旦收到贵方提出的下述任何一种情况的书面通知（贵方不需要说明理由，不需要提供证明），立即无条件地向贵方支付人民币（大写）元整[保证金金额]（（小写）￥元）：</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1.从开标之日起到投标有效期满前，投标供应商撤回投标；</w:t>
      </w:r>
      <w:r>
        <w:rPr>
          <w:rFonts w:hint="eastAsia" w:asciiTheme="minorEastAsia" w:hAnsiTheme="minorEastAsia" w:eastAsiaTheme="minorEastAsia"/>
          <w:sz w:val="22"/>
        </w:rPr>
        <w:t>.</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2.投标供应商未能按中标通知书的要求与采购人签订合同；</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3.中标供应商未能按《投标供应商须知》的要求在规定期限内提交履约保证金。</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本保函自出具之日起至该投标有效期满后30天内持续有效，除非贵方提前终止或解除本保函。如果贵方和投标供应商同意需延长本保函有效期，只需在到期日前书面通知本行，本保函在任何延长的有效期内保持有效。本保函适用于中华人民共和国法律并按其进行解释。</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银行/机构名称（打印）(公章)：</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银行机构地址：</w:t>
      </w:r>
      <w:r>
        <w:rPr>
          <w:rFonts w:hint="eastAsia" w:asciiTheme="minorEastAsia" w:hAnsiTheme="minorEastAsia" w:eastAsiaTheme="minorEastAsia"/>
          <w:sz w:val="22"/>
        </w:rPr>
        <w:t xml:space="preserve">                           </w:t>
      </w:r>
      <w:r>
        <w:rPr>
          <w:rFonts w:asciiTheme="minorEastAsia" w:hAnsiTheme="minorEastAsia" w:eastAsiaTheme="minorEastAsia"/>
          <w:sz w:val="22"/>
        </w:rPr>
        <w:t>邮政编码：</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联系电话：</w:t>
      </w:r>
      <w:r>
        <w:rPr>
          <w:rFonts w:hint="eastAsia" w:asciiTheme="minorEastAsia" w:hAnsiTheme="minorEastAsia" w:eastAsiaTheme="minorEastAsia"/>
          <w:sz w:val="22"/>
        </w:rPr>
        <w:t xml:space="preserve">                                 </w:t>
      </w:r>
      <w:r>
        <w:rPr>
          <w:rFonts w:asciiTheme="minorEastAsia" w:hAnsiTheme="minorEastAsia" w:eastAsiaTheme="minorEastAsia"/>
          <w:sz w:val="22"/>
        </w:rPr>
        <w:t>传真号：</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法定代表人或其授权的代理人亲笔签字：</w:t>
      </w:r>
    </w:p>
    <w:p>
      <w:pPr>
        <w:tabs>
          <w:tab w:val="left" w:pos="448"/>
        </w:tabs>
        <w:autoSpaceDE w:val="0"/>
        <w:autoSpaceDN w:val="0"/>
        <w:spacing w:before="205"/>
        <w:ind w:firstLine="440" w:firstLineChars="200"/>
        <w:jc w:val="left"/>
        <w:rPr>
          <w:rFonts w:asciiTheme="minorEastAsia" w:hAnsiTheme="minorEastAsia" w:eastAsiaTheme="minorEastAsia"/>
          <w:sz w:val="22"/>
        </w:rPr>
      </w:pPr>
      <w:r>
        <w:rPr>
          <w:rFonts w:asciiTheme="minorEastAsia" w:hAnsiTheme="minorEastAsia" w:eastAsiaTheme="minorEastAsia"/>
          <w:sz w:val="22"/>
        </w:rPr>
        <w:t>法定代表人或其授权的代理人姓名和职务（打印）：姓名</w:t>
      </w:r>
      <w:r>
        <w:rPr>
          <w:rFonts w:hint="eastAsia" w:asciiTheme="minorEastAsia" w:hAnsiTheme="minorEastAsia" w:eastAsiaTheme="minorEastAsia"/>
          <w:sz w:val="22"/>
        </w:rPr>
        <w:t xml:space="preserve">           </w:t>
      </w:r>
      <w:r>
        <w:rPr>
          <w:rFonts w:asciiTheme="minorEastAsia" w:hAnsiTheme="minorEastAsia" w:eastAsiaTheme="minorEastAsia"/>
          <w:sz w:val="22"/>
        </w:rPr>
        <w:t>职务</w:t>
      </w:r>
    </w:p>
    <w:p>
      <w:pPr>
        <w:pStyle w:val="16"/>
        <w:spacing w:before="7"/>
        <w:rPr>
          <w:rFonts w:asciiTheme="minorEastAsia" w:hAnsiTheme="minorEastAsia" w:eastAsiaTheme="minorEastAsia"/>
          <w:sz w:val="22"/>
          <w:szCs w:val="22"/>
        </w:rPr>
      </w:pPr>
    </w:p>
    <w:p>
      <w:pPr>
        <w:pStyle w:val="16"/>
        <w:spacing w:before="7"/>
        <w:rPr>
          <w:rFonts w:asciiTheme="minorEastAsia" w:hAnsiTheme="minorEastAsia" w:eastAsiaTheme="minorEastAsia"/>
          <w:sz w:val="22"/>
          <w:szCs w:val="22"/>
        </w:rPr>
      </w:pPr>
    </w:p>
    <w:p>
      <w:pPr>
        <w:pStyle w:val="16"/>
        <w:spacing w:before="7"/>
        <w:rPr>
          <w:rFonts w:asciiTheme="minorEastAsia" w:hAnsiTheme="minorEastAsia" w:eastAsiaTheme="minorEastAsia"/>
          <w:sz w:val="22"/>
          <w:szCs w:val="22"/>
        </w:rPr>
      </w:pP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4"/>
        <w:spacing w:line="325" w:lineRule="exact"/>
        <w:ind w:left="212" w:right="241"/>
        <w:rPr>
          <w:rFonts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投标</w:t>
      </w:r>
      <w:r>
        <w:rPr>
          <w:rFonts w:asciiTheme="minorEastAsia" w:hAnsiTheme="minorEastAsia" w:eastAsiaTheme="minorEastAsia"/>
          <w:sz w:val="22"/>
          <w:szCs w:val="22"/>
          <w:lang w:eastAsia="zh-CN"/>
        </w:rPr>
        <w:t>保证保险凭证</w:t>
      </w:r>
    </w:p>
    <w:p>
      <w:pPr>
        <w:pStyle w:val="16"/>
        <w:spacing w:before="6"/>
        <w:rPr>
          <w:rFonts w:asciiTheme="minorEastAsia" w:hAnsiTheme="minorEastAsia" w:eastAsiaTheme="minorEastAsia"/>
          <w:sz w:val="22"/>
          <w:szCs w:val="22"/>
        </w:rPr>
      </w:pPr>
    </w:p>
    <w:p>
      <w:pPr>
        <w:pStyle w:val="135"/>
        <w:ind w:left="0" w:right="110"/>
        <w:jc w:val="right"/>
        <w:rPr>
          <w:rFonts w:asciiTheme="minorEastAsia" w:hAnsiTheme="minorEastAsia" w:eastAsiaTheme="minorEastAsia"/>
          <w:lang w:eastAsia="zh-CN"/>
        </w:rPr>
      </w:pPr>
      <w:r>
        <w:rPr>
          <w:rFonts w:asciiTheme="minorEastAsia" w:hAnsiTheme="minorEastAsia" w:eastAsiaTheme="minorEastAsia"/>
          <w:w w:val="95"/>
          <w:lang w:eastAsia="zh-CN"/>
        </w:rPr>
        <w:t>编号：【】号</w:t>
      </w:r>
    </w:p>
    <w:p>
      <w:pPr>
        <w:pStyle w:val="16"/>
        <w:spacing w:before="177"/>
        <w:ind w:left="106"/>
        <w:rPr>
          <w:rFonts w:asciiTheme="minorEastAsia" w:hAnsiTheme="minorEastAsia" w:eastAsiaTheme="minorEastAsia"/>
          <w:sz w:val="22"/>
          <w:szCs w:val="22"/>
        </w:rPr>
      </w:pPr>
      <w:r>
        <w:rPr>
          <w:rFonts w:asciiTheme="minorEastAsia" w:hAnsiTheme="minorEastAsia" w:eastAsiaTheme="minorEastAsia"/>
          <w:sz w:val="22"/>
          <w:szCs w:val="22"/>
        </w:rPr>
        <w:t>（采购人）：</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鉴于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一、保险责任的情形及保证金额</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（一）在投标（响应）人出现下列情形之一时，我方承担保险责任：</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1.中标（成交）后投标（响应）人无正当理由不与采购人签订《政府采购合同》；</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2.采购文件规定的投标（响应）人应当缴纳保证金的其他情形。</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（二）我方承担保险责任的最高金额为人民币__________元（大写）即本项目的投标（响应）保证金金额。</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二、保险的方式及保证期间我方保险的方式为：按保险合同的约定。我方的保证期间为：本保险凭证自__年__月__日起生效，有效期至开标日后的90天内。</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三、承担保险责任的程序</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你方要求我方承担保险责任的，应在本保险凭证有效期内向我方发出索赔通知。索赔通知应写明要求索赔的金额，支付款项应到达的账号、户名和开户行，并附有证明投标（响应）人发生我方应承担保险责任情形的事实材料。</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我方在收到索赔通知及相关证明材料后，在15个工作日内进行审查，符合应承担保险责任情形的，我方按照你方的要求代投标（响应）人向你方支付相应的索赔款项。四、保险责任的终止1.保险期间届满，你方未向我方书面主张保险责任的，自保证期间届满次日起，我方保险责任自动终止。2.我方按照本保险凭证向你方履行了保险责任后，自我方向你方支付款项（支付款项从我方账户划出）之日起，保险责任终止。</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3.按照法律法规的规定或出现我方保证责任终止的其它情形的，我方在本保险凭证项下的保险责任终止。五、免责条款责任免除以保险条款规定为准。</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六、本保险凭证适用的保险条款为</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七、争议的解决因本保险凭证发生的纠纷，由你我双方协商解决，协商不成的，通过诉讼程序解决，诉讼管辖地法院为法院。</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八、保险凭证的生效本保险凭证自我方加盖公章之日起生效。</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保证人：（公章）</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联系人：</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联系电话：</w:t>
      </w:r>
    </w:p>
    <w:p>
      <w:pPr>
        <w:pStyle w:val="16"/>
        <w:spacing w:before="152" w:line="240" w:lineRule="auto"/>
        <w:ind w:left="106"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年</w:t>
      </w:r>
      <w:r>
        <w:rPr>
          <w:rFonts w:hint="eastAsia" w:asciiTheme="minorEastAsia" w:hAnsiTheme="minorEastAsia" w:eastAsiaTheme="minorEastAsia"/>
          <w:sz w:val="22"/>
          <w:szCs w:val="22"/>
        </w:rPr>
        <w:t xml:space="preserve">    月    日</w:t>
      </w:r>
      <w:bookmarkEnd w:id="84"/>
    </w:p>
    <w:sectPr>
      <w:type w:val="nextColumn"/>
      <w:pgSz w:w="11907" w:h="16840"/>
      <w:pgMar w:top="1440" w:right="1644" w:bottom="1276" w:left="1644" w:header="851" w:footer="726"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733501"/>
      <w:docPartObj>
        <w:docPartGallery w:val="AutoText"/>
      </w:docPartObj>
    </w:sdtPr>
    <w:sdtContent>
      <w:p>
        <w:pPr>
          <w:pStyle w:val="26"/>
          <w:jc w:val="center"/>
        </w:pPr>
        <w:r>
          <w:fldChar w:fldCharType="begin"/>
        </w:r>
        <w:r>
          <w:instrText xml:space="preserve"> PAGE   \* MERGEFORMAT </w:instrText>
        </w:r>
        <w:r>
          <w:fldChar w:fldCharType="separate"/>
        </w:r>
        <w:r>
          <w:rPr>
            <w:lang w:val="zh-CN"/>
          </w:rPr>
          <w:t>6</w:t>
        </w:r>
        <w: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pict>
        <v:shape id="_x0000_s3078" o:spid="_x0000_s3078" o:spt="202" type="#_x0000_t202" style="position:absolute;left:0pt;margin-left:272.4pt;margin-top:812.85pt;height:16pt;width:4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77" w:lineRule="exact"/>
                  <w:ind w:left="20"/>
                  <w:rPr>
                    <w:sz w:val="24"/>
                  </w:rPr>
                </w:pPr>
                <w:r>
                  <w:rPr>
                    <w:w w:val="95"/>
                    <w:sz w:val="24"/>
                  </w:rPr>
                  <w:t>-第</w:t>
                </w:r>
                <w:r>
                  <w:fldChar w:fldCharType="begin"/>
                </w:r>
                <w:r>
                  <w:rPr>
                    <w:w w:val="95"/>
                    <w:sz w:val="24"/>
                  </w:rPr>
                  <w:instrText xml:space="preserve"> PAGE </w:instrText>
                </w:r>
                <w:r>
                  <w:fldChar w:fldCharType="separate"/>
                </w:r>
                <w:r>
                  <w:rPr>
                    <w:w w:val="95"/>
                    <w:sz w:val="24"/>
                  </w:rPr>
                  <w:t>33</w:t>
                </w:r>
                <w:r>
                  <w:fldChar w:fldCharType="end"/>
                </w:r>
                <w:r>
                  <w:rPr>
                    <w:w w:val="95"/>
                    <w:sz w:val="24"/>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27"/>
      </w:tabs>
      <w:ind w:right="-18"/>
      <w:jc w:val="center"/>
      <w:rPr>
        <w:rStyle w:val="47"/>
        <w:szCs w:val="21"/>
      </w:rPr>
    </w:pPr>
    <w:r>
      <w:rPr>
        <w:rStyle w:val="47"/>
        <w:rFonts w:hint="eastAsia"/>
        <w:szCs w:val="21"/>
      </w:rPr>
      <w:t xml:space="preserve">第 </w:t>
    </w:r>
    <w:r>
      <w:rPr>
        <w:szCs w:val="21"/>
      </w:rPr>
      <w:fldChar w:fldCharType="begin"/>
    </w:r>
    <w:r>
      <w:rPr>
        <w:rStyle w:val="47"/>
        <w:szCs w:val="21"/>
      </w:rPr>
      <w:instrText xml:space="preserve"> PAGE </w:instrText>
    </w:r>
    <w:r>
      <w:rPr>
        <w:szCs w:val="21"/>
      </w:rPr>
      <w:fldChar w:fldCharType="separate"/>
    </w:r>
    <w:r>
      <w:rPr>
        <w:rStyle w:val="47"/>
        <w:szCs w:val="21"/>
      </w:rPr>
      <w:t>1</w:t>
    </w:r>
    <w:r>
      <w:rPr>
        <w:szCs w:val="21"/>
      </w:rPr>
      <w:fldChar w:fldCharType="end"/>
    </w:r>
    <w:r>
      <w:rPr>
        <w:rStyle w:val="47"/>
        <w:rFonts w:hint="eastAsia"/>
        <w:szCs w:val="21"/>
      </w:rPr>
      <w:t xml:space="preserve"> 页 共 </w:t>
    </w:r>
    <w:r>
      <w:rPr>
        <w:szCs w:val="21"/>
      </w:rPr>
      <w:fldChar w:fldCharType="begin"/>
    </w:r>
    <w:r>
      <w:rPr>
        <w:rStyle w:val="47"/>
        <w:szCs w:val="21"/>
      </w:rPr>
      <w:instrText xml:space="preserve"> NUMPAGES </w:instrText>
    </w:r>
    <w:r>
      <w:rPr>
        <w:szCs w:val="21"/>
      </w:rPr>
      <w:fldChar w:fldCharType="separate"/>
    </w:r>
    <w:r>
      <w:rPr>
        <w:rStyle w:val="47"/>
        <w:szCs w:val="21"/>
      </w:rPr>
      <w:t>71</w:t>
    </w:r>
    <w:r>
      <w:rPr>
        <w:szCs w:val="21"/>
      </w:rPr>
      <w:fldChar w:fldCharType="end"/>
    </w:r>
    <w:r>
      <w:rPr>
        <w:rStyle w:val="47"/>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pict>
        <v:shape id="_x0000_s3079" o:spid="_x0000_s3079" o:spt="202" type="#_x0000_t202" style="position:absolute;left:0pt;margin-left:272.4pt;margin-top:812.85pt;height:16pt;width:4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77" w:lineRule="exact"/>
                  <w:ind w:left="20"/>
                  <w:rPr>
                    <w:sz w:val="24"/>
                  </w:rPr>
                </w:pPr>
                <w:r>
                  <w:rPr>
                    <w:w w:val="95"/>
                    <w:sz w:val="24"/>
                  </w:rPr>
                  <w:t>-第</w:t>
                </w:r>
                <w:r>
                  <w:fldChar w:fldCharType="begin"/>
                </w:r>
                <w:r>
                  <w:rPr>
                    <w:w w:val="95"/>
                    <w:sz w:val="24"/>
                  </w:rPr>
                  <w:instrText xml:space="preserve"> PAGE </w:instrText>
                </w:r>
                <w:r>
                  <w:fldChar w:fldCharType="separate"/>
                </w:r>
                <w:r>
                  <w:rPr>
                    <w:w w:val="95"/>
                    <w:sz w:val="24"/>
                  </w:rPr>
                  <w:t>49</w:t>
                </w:r>
                <w:r>
                  <w:fldChar w:fldCharType="end"/>
                </w:r>
                <w:r>
                  <w:rPr>
                    <w:w w:val="95"/>
                    <w:sz w:val="24"/>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pict>
        <v:shape id="_x0000_s3080" o:spid="_x0000_s3080" o:spt="202" type="#_x0000_t202" style="position:absolute;left:0pt;margin-left:272.4pt;margin-top:812.85pt;height:16pt;width:49.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77" w:lineRule="exact"/>
                  <w:ind w:left="20"/>
                  <w:rPr>
                    <w:sz w:val="24"/>
                  </w:rPr>
                </w:pPr>
                <w:r>
                  <w:rPr>
                    <w:w w:val="95"/>
                    <w:sz w:val="24"/>
                  </w:rPr>
                  <w:t>-第</w:t>
                </w:r>
                <w:r>
                  <w:fldChar w:fldCharType="begin"/>
                </w:r>
                <w:r>
                  <w:rPr>
                    <w:w w:val="95"/>
                    <w:sz w:val="24"/>
                  </w:rPr>
                  <w:instrText xml:space="preserve"> PAGE </w:instrText>
                </w:r>
                <w:r>
                  <w:fldChar w:fldCharType="separate"/>
                </w:r>
                <w:r>
                  <w:rPr>
                    <w:w w:val="95"/>
                    <w:sz w:val="24"/>
                  </w:rPr>
                  <w:t>62</w:t>
                </w:r>
                <w:r>
                  <w:fldChar w:fldCharType="end"/>
                </w:r>
                <w:r>
                  <w:rPr>
                    <w:w w:val="95"/>
                    <w:sz w:val="24"/>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Cs w:val="21"/>
      </w:rPr>
    </w:pPr>
    <w:r>
      <w:rPr>
        <w:rFonts w:hint="eastAsia" w:hAnsi="宋体"/>
        <w:sz w:val="19"/>
        <w:szCs w:val="19"/>
      </w:rPr>
      <w:t>东莞市人民医院调度大楼主材采购项目                                HSDG2018225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7"/>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31F23FB4"/>
    <w:multiLevelType w:val="multilevel"/>
    <w:tmpl w:val="31F23FB4"/>
    <w:lvl w:ilvl="0" w:tentative="0">
      <w:start w:val="1"/>
      <w:numFmt w:val="decimal"/>
      <w:pStyle w:val="142"/>
      <w:lvlText w:val="%1."/>
      <w:lvlJc w:val="left"/>
      <w:pPr>
        <w:tabs>
          <w:tab w:val="left" w:pos="425"/>
        </w:tabs>
        <w:ind w:left="425" w:hanging="425"/>
      </w:pPr>
      <w:rPr>
        <w:rFonts w:hint="eastAsia"/>
        <w:b/>
        <w:i w:val="0"/>
        <w:sz w:val="24"/>
      </w:rPr>
    </w:lvl>
    <w:lvl w:ilvl="1" w:tentative="0">
      <w:start w:val="1"/>
      <w:numFmt w:val="decimal"/>
      <w:lvlText w:val="%1.%2"/>
      <w:lvlJc w:val="left"/>
      <w:pPr>
        <w:tabs>
          <w:tab w:val="left" w:pos="567"/>
        </w:tabs>
        <w:ind w:left="567" w:hanging="567"/>
      </w:pPr>
      <w:rPr>
        <w:rFonts w:hint="eastAsia"/>
        <w:b w:val="0"/>
        <w:i w:val="0"/>
        <w:sz w:val="21"/>
      </w:rPr>
    </w:lvl>
    <w:lvl w:ilvl="2" w:tentative="0">
      <w:start w:val="1"/>
      <w:numFmt w:val="decimal"/>
      <w:lvlText w:val="2.3.%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b w:val="0"/>
        <w:i w:val="0"/>
        <w:color w:val="000000"/>
        <w:sz w:val="21"/>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A5C32A"/>
    <w:multiLevelType w:val="singleLevel"/>
    <w:tmpl w:val="5CA5C32A"/>
    <w:lvl w:ilvl="0" w:tentative="0">
      <w:start w:val="3"/>
      <w:numFmt w:val="decimal"/>
      <w:suff w:val="nothing"/>
      <w:lvlText w:val="%1、"/>
      <w:lvlJc w:val="left"/>
    </w:lvl>
  </w:abstractNum>
  <w:abstractNum w:abstractNumId="3">
    <w:nsid w:val="628B3E62"/>
    <w:multiLevelType w:val="multilevel"/>
    <w:tmpl w:val="628B3E62"/>
    <w:lvl w:ilvl="0" w:tentative="0">
      <w:start w:val="1"/>
      <w:numFmt w:val="decimal"/>
      <w:lvlText w:val="%1."/>
      <w:lvlJc w:val="left"/>
      <w:pPr>
        <w:ind w:left="106" w:hanging="205"/>
      </w:pPr>
      <w:rPr>
        <w:rFonts w:hint="default" w:ascii="宋体" w:hAnsi="宋体" w:eastAsia="宋体" w:cs="宋体"/>
        <w:spacing w:val="-5"/>
        <w:w w:val="64"/>
        <w:sz w:val="21"/>
        <w:szCs w:val="21"/>
      </w:rPr>
    </w:lvl>
    <w:lvl w:ilvl="1" w:tentative="0">
      <w:start w:val="0"/>
      <w:numFmt w:val="bullet"/>
      <w:lvlText w:val="•"/>
      <w:lvlJc w:val="left"/>
      <w:pPr>
        <w:ind w:left="1168" w:hanging="205"/>
      </w:pPr>
      <w:rPr>
        <w:rFonts w:hint="default"/>
      </w:rPr>
    </w:lvl>
    <w:lvl w:ilvl="2" w:tentative="0">
      <w:start w:val="0"/>
      <w:numFmt w:val="bullet"/>
      <w:lvlText w:val="•"/>
      <w:lvlJc w:val="left"/>
      <w:pPr>
        <w:ind w:left="2236" w:hanging="205"/>
      </w:pPr>
      <w:rPr>
        <w:rFonts w:hint="default"/>
      </w:rPr>
    </w:lvl>
    <w:lvl w:ilvl="3" w:tentative="0">
      <w:start w:val="0"/>
      <w:numFmt w:val="bullet"/>
      <w:lvlText w:val="•"/>
      <w:lvlJc w:val="left"/>
      <w:pPr>
        <w:ind w:left="3304" w:hanging="205"/>
      </w:pPr>
      <w:rPr>
        <w:rFonts w:hint="default"/>
      </w:rPr>
    </w:lvl>
    <w:lvl w:ilvl="4" w:tentative="0">
      <w:start w:val="0"/>
      <w:numFmt w:val="bullet"/>
      <w:lvlText w:val="•"/>
      <w:lvlJc w:val="left"/>
      <w:pPr>
        <w:ind w:left="4372" w:hanging="205"/>
      </w:pPr>
      <w:rPr>
        <w:rFonts w:hint="default"/>
      </w:rPr>
    </w:lvl>
    <w:lvl w:ilvl="5" w:tentative="0">
      <w:start w:val="0"/>
      <w:numFmt w:val="bullet"/>
      <w:lvlText w:val="•"/>
      <w:lvlJc w:val="left"/>
      <w:pPr>
        <w:ind w:left="5440" w:hanging="205"/>
      </w:pPr>
      <w:rPr>
        <w:rFonts w:hint="default"/>
      </w:rPr>
    </w:lvl>
    <w:lvl w:ilvl="6" w:tentative="0">
      <w:start w:val="0"/>
      <w:numFmt w:val="bullet"/>
      <w:lvlText w:val="•"/>
      <w:lvlJc w:val="left"/>
      <w:pPr>
        <w:ind w:left="6508" w:hanging="205"/>
      </w:pPr>
      <w:rPr>
        <w:rFonts w:hint="default"/>
      </w:rPr>
    </w:lvl>
    <w:lvl w:ilvl="7" w:tentative="0">
      <w:start w:val="0"/>
      <w:numFmt w:val="bullet"/>
      <w:lvlText w:val="•"/>
      <w:lvlJc w:val="left"/>
      <w:pPr>
        <w:ind w:left="7576" w:hanging="205"/>
      </w:pPr>
      <w:rPr>
        <w:rFonts w:hint="default"/>
      </w:rPr>
    </w:lvl>
    <w:lvl w:ilvl="8" w:tentative="0">
      <w:start w:val="0"/>
      <w:numFmt w:val="bullet"/>
      <w:lvlText w:val="•"/>
      <w:lvlJc w:val="left"/>
      <w:pPr>
        <w:ind w:left="8644" w:hanging="205"/>
      </w:pPr>
      <w:rPr>
        <w:rFonts w:hint="default"/>
      </w:rPr>
    </w:lvl>
  </w:abstractNum>
  <w:abstractNum w:abstractNumId="4">
    <w:nsid w:val="768C3BAE"/>
    <w:multiLevelType w:val="multilevel"/>
    <w:tmpl w:val="768C3BAE"/>
    <w:lvl w:ilvl="0" w:tentative="0">
      <w:start w:val="1"/>
      <w:numFmt w:val="decimal"/>
      <w:lvlText w:val="%1"/>
      <w:lvlJc w:val="left"/>
      <w:pPr>
        <w:ind w:left="496" w:hanging="391"/>
      </w:pPr>
      <w:rPr>
        <w:rFonts w:hint="default"/>
      </w:rPr>
    </w:lvl>
    <w:lvl w:ilvl="1" w:tentative="0">
      <w:start w:val="1"/>
      <w:numFmt w:val="decimal"/>
      <w:lvlText w:val="%1.%2"/>
      <w:lvlJc w:val="left"/>
      <w:pPr>
        <w:ind w:left="496" w:hanging="391"/>
      </w:pPr>
      <w:rPr>
        <w:rFonts w:hint="default" w:ascii="微软雅黑" w:hAnsi="微软雅黑" w:eastAsia="微软雅黑" w:cs="微软雅黑"/>
        <w:b/>
        <w:bCs/>
        <w:spacing w:val="0"/>
        <w:w w:val="115"/>
        <w:sz w:val="21"/>
        <w:szCs w:val="21"/>
      </w:rPr>
    </w:lvl>
    <w:lvl w:ilvl="2" w:tentative="0">
      <w:start w:val="1"/>
      <w:numFmt w:val="decimal"/>
      <w:lvlText w:val="（%3）"/>
      <w:lvlJc w:val="left"/>
      <w:pPr>
        <w:ind w:left="1438" w:hanging="565"/>
      </w:pPr>
      <w:rPr>
        <w:rFonts w:hint="default"/>
        <w:spacing w:val="-5"/>
        <w:w w:val="102"/>
        <w:lang w:val="en-US"/>
      </w:rPr>
    </w:lvl>
    <w:lvl w:ilvl="3" w:tentative="0">
      <w:start w:val="0"/>
      <w:numFmt w:val="bullet"/>
      <w:lvlText w:val="•"/>
      <w:lvlJc w:val="left"/>
      <w:pPr>
        <w:ind w:left="2570" w:hanging="565"/>
      </w:pPr>
      <w:rPr>
        <w:rFonts w:hint="default"/>
      </w:rPr>
    </w:lvl>
    <w:lvl w:ilvl="4" w:tentative="0">
      <w:start w:val="0"/>
      <w:numFmt w:val="bullet"/>
      <w:lvlText w:val="•"/>
      <w:lvlJc w:val="left"/>
      <w:pPr>
        <w:ind w:left="3700" w:hanging="565"/>
      </w:pPr>
      <w:rPr>
        <w:rFonts w:hint="default"/>
      </w:rPr>
    </w:lvl>
    <w:lvl w:ilvl="5" w:tentative="0">
      <w:start w:val="0"/>
      <w:numFmt w:val="bullet"/>
      <w:lvlText w:val="•"/>
      <w:lvlJc w:val="left"/>
      <w:pPr>
        <w:ind w:left="4830" w:hanging="565"/>
      </w:pPr>
      <w:rPr>
        <w:rFonts w:hint="default"/>
      </w:rPr>
    </w:lvl>
    <w:lvl w:ilvl="6" w:tentative="0">
      <w:start w:val="0"/>
      <w:numFmt w:val="bullet"/>
      <w:lvlText w:val="•"/>
      <w:lvlJc w:val="left"/>
      <w:pPr>
        <w:ind w:left="5960" w:hanging="565"/>
      </w:pPr>
      <w:rPr>
        <w:rFonts w:hint="default"/>
      </w:rPr>
    </w:lvl>
    <w:lvl w:ilvl="7" w:tentative="0">
      <w:start w:val="0"/>
      <w:numFmt w:val="bullet"/>
      <w:lvlText w:val="•"/>
      <w:lvlJc w:val="left"/>
      <w:pPr>
        <w:ind w:left="7090" w:hanging="565"/>
      </w:pPr>
      <w:rPr>
        <w:rFonts w:hint="default"/>
      </w:rPr>
    </w:lvl>
    <w:lvl w:ilvl="8" w:tentative="0">
      <w:start w:val="0"/>
      <w:numFmt w:val="bullet"/>
      <w:lvlText w:val="•"/>
      <w:lvlJc w:val="left"/>
      <w:pPr>
        <w:ind w:left="8220" w:hanging="56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50"/>
  <w:drawingGridVerticalSpacing w:val="204"/>
  <w:displayHorizontalDrawingGridEvery w:val="2"/>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YzhkYWFlNzg2OWU0ZGMzY2E1YjAwZTM2NDQ0YTgifQ=="/>
  </w:docVars>
  <w:rsids>
    <w:rsidRoot w:val="00CA653C"/>
    <w:rsid w:val="000005C7"/>
    <w:rsid w:val="00000EA3"/>
    <w:rsid w:val="00000F03"/>
    <w:rsid w:val="00000F39"/>
    <w:rsid w:val="000010F0"/>
    <w:rsid w:val="000011B0"/>
    <w:rsid w:val="00001B58"/>
    <w:rsid w:val="000028FB"/>
    <w:rsid w:val="000029BA"/>
    <w:rsid w:val="00002EEA"/>
    <w:rsid w:val="00003B77"/>
    <w:rsid w:val="0000407C"/>
    <w:rsid w:val="00005B5C"/>
    <w:rsid w:val="00006606"/>
    <w:rsid w:val="00006C36"/>
    <w:rsid w:val="00006F16"/>
    <w:rsid w:val="0000703F"/>
    <w:rsid w:val="00007441"/>
    <w:rsid w:val="000076ED"/>
    <w:rsid w:val="00007DB5"/>
    <w:rsid w:val="00007F16"/>
    <w:rsid w:val="0001016F"/>
    <w:rsid w:val="00010574"/>
    <w:rsid w:val="00010B9A"/>
    <w:rsid w:val="00010C8E"/>
    <w:rsid w:val="000119B6"/>
    <w:rsid w:val="00011F95"/>
    <w:rsid w:val="0001320E"/>
    <w:rsid w:val="000136B3"/>
    <w:rsid w:val="00013C91"/>
    <w:rsid w:val="000141B3"/>
    <w:rsid w:val="0001433B"/>
    <w:rsid w:val="0001504F"/>
    <w:rsid w:val="000151D1"/>
    <w:rsid w:val="00015889"/>
    <w:rsid w:val="00015BB5"/>
    <w:rsid w:val="000160DB"/>
    <w:rsid w:val="000169D3"/>
    <w:rsid w:val="00016A3E"/>
    <w:rsid w:val="0001704C"/>
    <w:rsid w:val="000177AB"/>
    <w:rsid w:val="0002065F"/>
    <w:rsid w:val="000214B2"/>
    <w:rsid w:val="0002162A"/>
    <w:rsid w:val="00022912"/>
    <w:rsid w:val="00022D70"/>
    <w:rsid w:val="0002302F"/>
    <w:rsid w:val="000238C7"/>
    <w:rsid w:val="00023A31"/>
    <w:rsid w:val="00023D41"/>
    <w:rsid w:val="000241B1"/>
    <w:rsid w:val="000241E4"/>
    <w:rsid w:val="00024CA9"/>
    <w:rsid w:val="00024E30"/>
    <w:rsid w:val="00025719"/>
    <w:rsid w:val="000259C8"/>
    <w:rsid w:val="00025A4B"/>
    <w:rsid w:val="00025DA1"/>
    <w:rsid w:val="00025E8A"/>
    <w:rsid w:val="00026B37"/>
    <w:rsid w:val="0002704C"/>
    <w:rsid w:val="00027BA3"/>
    <w:rsid w:val="00030463"/>
    <w:rsid w:val="000307A5"/>
    <w:rsid w:val="0003083B"/>
    <w:rsid w:val="000311FB"/>
    <w:rsid w:val="00031B5B"/>
    <w:rsid w:val="00031D6C"/>
    <w:rsid w:val="00032008"/>
    <w:rsid w:val="00032054"/>
    <w:rsid w:val="000322CE"/>
    <w:rsid w:val="0003239A"/>
    <w:rsid w:val="00032871"/>
    <w:rsid w:val="00032B04"/>
    <w:rsid w:val="00032C8D"/>
    <w:rsid w:val="000334CB"/>
    <w:rsid w:val="000340B6"/>
    <w:rsid w:val="000341E2"/>
    <w:rsid w:val="000344A4"/>
    <w:rsid w:val="000350F2"/>
    <w:rsid w:val="00036041"/>
    <w:rsid w:val="00036243"/>
    <w:rsid w:val="00036B65"/>
    <w:rsid w:val="000378BA"/>
    <w:rsid w:val="00037EF9"/>
    <w:rsid w:val="00040FA9"/>
    <w:rsid w:val="0004134F"/>
    <w:rsid w:val="0004155A"/>
    <w:rsid w:val="000417EB"/>
    <w:rsid w:val="00041D0E"/>
    <w:rsid w:val="00041F91"/>
    <w:rsid w:val="00042F9B"/>
    <w:rsid w:val="0004485C"/>
    <w:rsid w:val="00044B6B"/>
    <w:rsid w:val="00045C51"/>
    <w:rsid w:val="0004630C"/>
    <w:rsid w:val="000464B7"/>
    <w:rsid w:val="0004675F"/>
    <w:rsid w:val="000468BE"/>
    <w:rsid w:val="00046E87"/>
    <w:rsid w:val="000506EC"/>
    <w:rsid w:val="00050E8F"/>
    <w:rsid w:val="00050F0E"/>
    <w:rsid w:val="00050FCA"/>
    <w:rsid w:val="0005149E"/>
    <w:rsid w:val="00051BCA"/>
    <w:rsid w:val="000536D2"/>
    <w:rsid w:val="00053A23"/>
    <w:rsid w:val="00053C5C"/>
    <w:rsid w:val="00054246"/>
    <w:rsid w:val="000547CF"/>
    <w:rsid w:val="00054A6B"/>
    <w:rsid w:val="00055493"/>
    <w:rsid w:val="00055510"/>
    <w:rsid w:val="00055902"/>
    <w:rsid w:val="00055E1B"/>
    <w:rsid w:val="0005634C"/>
    <w:rsid w:val="00056C56"/>
    <w:rsid w:val="0006052B"/>
    <w:rsid w:val="000608A6"/>
    <w:rsid w:val="00060983"/>
    <w:rsid w:val="00061077"/>
    <w:rsid w:val="00062153"/>
    <w:rsid w:val="00062658"/>
    <w:rsid w:val="00063360"/>
    <w:rsid w:val="0006345F"/>
    <w:rsid w:val="000642B4"/>
    <w:rsid w:val="000644DA"/>
    <w:rsid w:val="00064D1C"/>
    <w:rsid w:val="00065802"/>
    <w:rsid w:val="00065C95"/>
    <w:rsid w:val="00066109"/>
    <w:rsid w:val="0006627E"/>
    <w:rsid w:val="00066FFA"/>
    <w:rsid w:val="000674C4"/>
    <w:rsid w:val="00070532"/>
    <w:rsid w:val="00070EAC"/>
    <w:rsid w:val="00070F3D"/>
    <w:rsid w:val="00071530"/>
    <w:rsid w:val="00071691"/>
    <w:rsid w:val="00071731"/>
    <w:rsid w:val="00071F04"/>
    <w:rsid w:val="000720B6"/>
    <w:rsid w:val="000722F2"/>
    <w:rsid w:val="0007253E"/>
    <w:rsid w:val="00072752"/>
    <w:rsid w:val="00072EA8"/>
    <w:rsid w:val="000732D4"/>
    <w:rsid w:val="000734CE"/>
    <w:rsid w:val="00073598"/>
    <w:rsid w:val="00073901"/>
    <w:rsid w:val="000745E4"/>
    <w:rsid w:val="000747D5"/>
    <w:rsid w:val="00074955"/>
    <w:rsid w:val="00074957"/>
    <w:rsid w:val="00074A8C"/>
    <w:rsid w:val="00075428"/>
    <w:rsid w:val="000758D0"/>
    <w:rsid w:val="00077C4C"/>
    <w:rsid w:val="00077CE8"/>
    <w:rsid w:val="000807EE"/>
    <w:rsid w:val="000808A2"/>
    <w:rsid w:val="00080C2A"/>
    <w:rsid w:val="00081906"/>
    <w:rsid w:val="00083018"/>
    <w:rsid w:val="00083BFD"/>
    <w:rsid w:val="00083C69"/>
    <w:rsid w:val="00083CB6"/>
    <w:rsid w:val="00083E86"/>
    <w:rsid w:val="000841A0"/>
    <w:rsid w:val="0008426A"/>
    <w:rsid w:val="000843F9"/>
    <w:rsid w:val="00084FB7"/>
    <w:rsid w:val="0008643A"/>
    <w:rsid w:val="00086E1B"/>
    <w:rsid w:val="00086F80"/>
    <w:rsid w:val="000871E7"/>
    <w:rsid w:val="000871FD"/>
    <w:rsid w:val="000879E2"/>
    <w:rsid w:val="00087C03"/>
    <w:rsid w:val="000907A8"/>
    <w:rsid w:val="00090BCB"/>
    <w:rsid w:val="00090EB1"/>
    <w:rsid w:val="00091220"/>
    <w:rsid w:val="00091E72"/>
    <w:rsid w:val="00092738"/>
    <w:rsid w:val="0009279E"/>
    <w:rsid w:val="000929BB"/>
    <w:rsid w:val="0009323A"/>
    <w:rsid w:val="0009346F"/>
    <w:rsid w:val="00093F93"/>
    <w:rsid w:val="00094939"/>
    <w:rsid w:val="00094DA8"/>
    <w:rsid w:val="00094E1A"/>
    <w:rsid w:val="000961A5"/>
    <w:rsid w:val="00096A74"/>
    <w:rsid w:val="00096BE2"/>
    <w:rsid w:val="00096F3E"/>
    <w:rsid w:val="0009744D"/>
    <w:rsid w:val="00097DBF"/>
    <w:rsid w:val="00097FB7"/>
    <w:rsid w:val="000A01A9"/>
    <w:rsid w:val="000A01D4"/>
    <w:rsid w:val="000A1E5C"/>
    <w:rsid w:val="000A2937"/>
    <w:rsid w:val="000A2A5C"/>
    <w:rsid w:val="000A2E9E"/>
    <w:rsid w:val="000A2FED"/>
    <w:rsid w:val="000A4259"/>
    <w:rsid w:val="000A4C6A"/>
    <w:rsid w:val="000A4DFE"/>
    <w:rsid w:val="000A4EBE"/>
    <w:rsid w:val="000A53AE"/>
    <w:rsid w:val="000A587E"/>
    <w:rsid w:val="000A5A0C"/>
    <w:rsid w:val="000A5E49"/>
    <w:rsid w:val="000A61BB"/>
    <w:rsid w:val="000A63D2"/>
    <w:rsid w:val="000A6E36"/>
    <w:rsid w:val="000A7223"/>
    <w:rsid w:val="000A7538"/>
    <w:rsid w:val="000A772E"/>
    <w:rsid w:val="000A7A8C"/>
    <w:rsid w:val="000B0917"/>
    <w:rsid w:val="000B0A1D"/>
    <w:rsid w:val="000B0FE2"/>
    <w:rsid w:val="000B127D"/>
    <w:rsid w:val="000B215C"/>
    <w:rsid w:val="000B3451"/>
    <w:rsid w:val="000B402F"/>
    <w:rsid w:val="000B4263"/>
    <w:rsid w:val="000B4582"/>
    <w:rsid w:val="000B49F5"/>
    <w:rsid w:val="000B4A93"/>
    <w:rsid w:val="000B4EAE"/>
    <w:rsid w:val="000B5013"/>
    <w:rsid w:val="000B52E8"/>
    <w:rsid w:val="000B5BAB"/>
    <w:rsid w:val="000B6289"/>
    <w:rsid w:val="000B689D"/>
    <w:rsid w:val="000B780A"/>
    <w:rsid w:val="000C0626"/>
    <w:rsid w:val="000C0B07"/>
    <w:rsid w:val="000C0E3A"/>
    <w:rsid w:val="000C1CD1"/>
    <w:rsid w:val="000C1DC0"/>
    <w:rsid w:val="000C237F"/>
    <w:rsid w:val="000C239D"/>
    <w:rsid w:val="000C2552"/>
    <w:rsid w:val="000C277B"/>
    <w:rsid w:val="000C2988"/>
    <w:rsid w:val="000C30C0"/>
    <w:rsid w:val="000C40D3"/>
    <w:rsid w:val="000C42F3"/>
    <w:rsid w:val="000C4921"/>
    <w:rsid w:val="000C516E"/>
    <w:rsid w:val="000C6B0E"/>
    <w:rsid w:val="000C6B59"/>
    <w:rsid w:val="000C703B"/>
    <w:rsid w:val="000C734A"/>
    <w:rsid w:val="000C7A41"/>
    <w:rsid w:val="000C7D7F"/>
    <w:rsid w:val="000D07AB"/>
    <w:rsid w:val="000D0BD0"/>
    <w:rsid w:val="000D0DDD"/>
    <w:rsid w:val="000D119E"/>
    <w:rsid w:val="000D1B28"/>
    <w:rsid w:val="000D288F"/>
    <w:rsid w:val="000D2E56"/>
    <w:rsid w:val="000D2E7A"/>
    <w:rsid w:val="000D371E"/>
    <w:rsid w:val="000D385F"/>
    <w:rsid w:val="000D39DE"/>
    <w:rsid w:val="000D3E08"/>
    <w:rsid w:val="000D3F81"/>
    <w:rsid w:val="000D43E6"/>
    <w:rsid w:val="000D49A4"/>
    <w:rsid w:val="000D5C9F"/>
    <w:rsid w:val="000D5D38"/>
    <w:rsid w:val="000D6029"/>
    <w:rsid w:val="000D60F3"/>
    <w:rsid w:val="000D61C5"/>
    <w:rsid w:val="000D6339"/>
    <w:rsid w:val="000D679A"/>
    <w:rsid w:val="000D75EE"/>
    <w:rsid w:val="000D7772"/>
    <w:rsid w:val="000D7B49"/>
    <w:rsid w:val="000D7CD2"/>
    <w:rsid w:val="000E0340"/>
    <w:rsid w:val="000E0E7B"/>
    <w:rsid w:val="000E13F2"/>
    <w:rsid w:val="000E1ADA"/>
    <w:rsid w:val="000E292F"/>
    <w:rsid w:val="000E2AD7"/>
    <w:rsid w:val="000E2D16"/>
    <w:rsid w:val="000E466A"/>
    <w:rsid w:val="000E4A56"/>
    <w:rsid w:val="000E4E20"/>
    <w:rsid w:val="000E4E8E"/>
    <w:rsid w:val="000E5028"/>
    <w:rsid w:val="000E54DF"/>
    <w:rsid w:val="000E550D"/>
    <w:rsid w:val="000E5A39"/>
    <w:rsid w:val="000E5CC4"/>
    <w:rsid w:val="000E5EF7"/>
    <w:rsid w:val="000E60F7"/>
    <w:rsid w:val="000E77D2"/>
    <w:rsid w:val="000F068D"/>
    <w:rsid w:val="000F0901"/>
    <w:rsid w:val="000F1F17"/>
    <w:rsid w:val="000F2820"/>
    <w:rsid w:val="000F3759"/>
    <w:rsid w:val="000F44F6"/>
    <w:rsid w:val="000F4A89"/>
    <w:rsid w:val="000F5262"/>
    <w:rsid w:val="000F56B0"/>
    <w:rsid w:val="000F5832"/>
    <w:rsid w:val="000F590F"/>
    <w:rsid w:val="000F5E35"/>
    <w:rsid w:val="000F5FDB"/>
    <w:rsid w:val="000F61E3"/>
    <w:rsid w:val="000F6BF0"/>
    <w:rsid w:val="000F7789"/>
    <w:rsid w:val="000F7D01"/>
    <w:rsid w:val="0010004D"/>
    <w:rsid w:val="0010029C"/>
    <w:rsid w:val="00100CDD"/>
    <w:rsid w:val="00100D94"/>
    <w:rsid w:val="0010112B"/>
    <w:rsid w:val="00101EE3"/>
    <w:rsid w:val="00103BC5"/>
    <w:rsid w:val="00103EC9"/>
    <w:rsid w:val="001046CF"/>
    <w:rsid w:val="00104B0D"/>
    <w:rsid w:val="00104FA9"/>
    <w:rsid w:val="001052D8"/>
    <w:rsid w:val="0010551A"/>
    <w:rsid w:val="00105979"/>
    <w:rsid w:val="00105B00"/>
    <w:rsid w:val="00105F5B"/>
    <w:rsid w:val="0010660F"/>
    <w:rsid w:val="001070C1"/>
    <w:rsid w:val="00107E22"/>
    <w:rsid w:val="00107F17"/>
    <w:rsid w:val="00110352"/>
    <w:rsid w:val="00110408"/>
    <w:rsid w:val="00111013"/>
    <w:rsid w:val="00111024"/>
    <w:rsid w:val="00111AD8"/>
    <w:rsid w:val="001121A6"/>
    <w:rsid w:val="0011242E"/>
    <w:rsid w:val="00112DA9"/>
    <w:rsid w:val="001131B4"/>
    <w:rsid w:val="00113C0B"/>
    <w:rsid w:val="00113F8D"/>
    <w:rsid w:val="001143EA"/>
    <w:rsid w:val="0011455D"/>
    <w:rsid w:val="0011530B"/>
    <w:rsid w:val="00115A85"/>
    <w:rsid w:val="00116282"/>
    <w:rsid w:val="001166F7"/>
    <w:rsid w:val="00116EC6"/>
    <w:rsid w:val="001173B1"/>
    <w:rsid w:val="00117AB8"/>
    <w:rsid w:val="001201A8"/>
    <w:rsid w:val="00120207"/>
    <w:rsid w:val="00121860"/>
    <w:rsid w:val="00121B8B"/>
    <w:rsid w:val="001221BB"/>
    <w:rsid w:val="00122285"/>
    <w:rsid w:val="001227AC"/>
    <w:rsid w:val="00122B79"/>
    <w:rsid w:val="0012385D"/>
    <w:rsid w:val="00123ABA"/>
    <w:rsid w:val="001258FD"/>
    <w:rsid w:val="001265D4"/>
    <w:rsid w:val="001267AB"/>
    <w:rsid w:val="00126B19"/>
    <w:rsid w:val="001305DE"/>
    <w:rsid w:val="0013109C"/>
    <w:rsid w:val="0013140C"/>
    <w:rsid w:val="00131657"/>
    <w:rsid w:val="0013166A"/>
    <w:rsid w:val="00131B07"/>
    <w:rsid w:val="00132212"/>
    <w:rsid w:val="00132AC6"/>
    <w:rsid w:val="00132BAC"/>
    <w:rsid w:val="00132E43"/>
    <w:rsid w:val="00133121"/>
    <w:rsid w:val="0013327E"/>
    <w:rsid w:val="0013349C"/>
    <w:rsid w:val="00134386"/>
    <w:rsid w:val="001347FE"/>
    <w:rsid w:val="00135F30"/>
    <w:rsid w:val="00136329"/>
    <w:rsid w:val="001363DF"/>
    <w:rsid w:val="001365B0"/>
    <w:rsid w:val="00136A75"/>
    <w:rsid w:val="00136DA8"/>
    <w:rsid w:val="00140926"/>
    <w:rsid w:val="00140E5B"/>
    <w:rsid w:val="001413CA"/>
    <w:rsid w:val="00141626"/>
    <w:rsid w:val="001421BF"/>
    <w:rsid w:val="001427A1"/>
    <w:rsid w:val="00142B58"/>
    <w:rsid w:val="00143137"/>
    <w:rsid w:val="0014372E"/>
    <w:rsid w:val="0014392D"/>
    <w:rsid w:val="0014392F"/>
    <w:rsid w:val="00143938"/>
    <w:rsid w:val="00143F37"/>
    <w:rsid w:val="00144329"/>
    <w:rsid w:val="00144B1C"/>
    <w:rsid w:val="0014567E"/>
    <w:rsid w:val="00145821"/>
    <w:rsid w:val="001459D0"/>
    <w:rsid w:val="0014750F"/>
    <w:rsid w:val="00147552"/>
    <w:rsid w:val="001475AD"/>
    <w:rsid w:val="00147D4B"/>
    <w:rsid w:val="001500F7"/>
    <w:rsid w:val="001502F5"/>
    <w:rsid w:val="00150B5D"/>
    <w:rsid w:val="00150C88"/>
    <w:rsid w:val="00150E41"/>
    <w:rsid w:val="00150ED0"/>
    <w:rsid w:val="00150F59"/>
    <w:rsid w:val="0015140B"/>
    <w:rsid w:val="00152158"/>
    <w:rsid w:val="00153195"/>
    <w:rsid w:val="00153942"/>
    <w:rsid w:val="00153E99"/>
    <w:rsid w:val="00153F77"/>
    <w:rsid w:val="00154C28"/>
    <w:rsid w:val="00155ABA"/>
    <w:rsid w:val="00155DEF"/>
    <w:rsid w:val="00155F0D"/>
    <w:rsid w:val="001562F7"/>
    <w:rsid w:val="00156B2F"/>
    <w:rsid w:val="00160511"/>
    <w:rsid w:val="00161080"/>
    <w:rsid w:val="00161306"/>
    <w:rsid w:val="0016148D"/>
    <w:rsid w:val="00161F7F"/>
    <w:rsid w:val="0016220D"/>
    <w:rsid w:val="00162A45"/>
    <w:rsid w:val="00162CA9"/>
    <w:rsid w:val="001638BE"/>
    <w:rsid w:val="0016395E"/>
    <w:rsid w:val="0016420A"/>
    <w:rsid w:val="00164A0B"/>
    <w:rsid w:val="00164BF9"/>
    <w:rsid w:val="001657BA"/>
    <w:rsid w:val="00165BEE"/>
    <w:rsid w:val="00165C8E"/>
    <w:rsid w:val="00166B10"/>
    <w:rsid w:val="00166C62"/>
    <w:rsid w:val="00166E21"/>
    <w:rsid w:val="001673D6"/>
    <w:rsid w:val="0016779A"/>
    <w:rsid w:val="0016794C"/>
    <w:rsid w:val="00167B51"/>
    <w:rsid w:val="00167BCB"/>
    <w:rsid w:val="00170049"/>
    <w:rsid w:val="0017022B"/>
    <w:rsid w:val="00170478"/>
    <w:rsid w:val="00170566"/>
    <w:rsid w:val="00170EDA"/>
    <w:rsid w:val="001714CC"/>
    <w:rsid w:val="00171C5C"/>
    <w:rsid w:val="00171CA6"/>
    <w:rsid w:val="00171F39"/>
    <w:rsid w:val="00171F3F"/>
    <w:rsid w:val="001723E8"/>
    <w:rsid w:val="00172890"/>
    <w:rsid w:val="001729C2"/>
    <w:rsid w:val="00172A0F"/>
    <w:rsid w:val="00172B76"/>
    <w:rsid w:val="00172BC8"/>
    <w:rsid w:val="001733F9"/>
    <w:rsid w:val="001737C1"/>
    <w:rsid w:val="00173AEB"/>
    <w:rsid w:val="00173BC0"/>
    <w:rsid w:val="00173C0C"/>
    <w:rsid w:val="00173CE5"/>
    <w:rsid w:val="001749B6"/>
    <w:rsid w:val="00174A5E"/>
    <w:rsid w:val="00175553"/>
    <w:rsid w:val="001755EA"/>
    <w:rsid w:val="001757C1"/>
    <w:rsid w:val="00175AF8"/>
    <w:rsid w:val="001761E0"/>
    <w:rsid w:val="001769F2"/>
    <w:rsid w:val="00176B60"/>
    <w:rsid w:val="00176DBA"/>
    <w:rsid w:val="001770F8"/>
    <w:rsid w:val="00177546"/>
    <w:rsid w:val="00177A9F"/>
    <w:rsid w:val="00181021"/>
    <w:rsid w:val="00181035"/>
    <w:rsid w:val="0018126D"/>
    <w:rsid w:val="00181888"/>
    <w:rsid w:val="001832B7"/>
    <w:rsid w:val="001849A8"/>
    <w:rsid w:val="00184FAF"/>
    <w:rsid w:val="0018509E"/>
    <w:rsid w:val="00185541"/>
    <w:rsid w:val="00185DE6"/>
    <w:rsid w:val="00186510"/>
    <w:rsid w:val="0018684E"/>
    <w:rsid w:val="00186CC0"/>
    <w:rsid w:val="00187178"/>
    <w:rsid w:val="0018732B"/>
    <w:rsid w:val="0018749E"/>
    <w:rsid w:val="00187A35"/>
    <w:rsid w:val="00187FD8"/>
    <w:rsid w:val="00190A95"/>
    <w:rsid w:val="00190E7F"/>
    <w:rsid w:val="00191628"/>
    <w:rsid w:val="001917E0"/>
    <w:rsid w:val="0019184C"/>
    <w:rsid w:val="00191CCF"/>
    <w:rsid w:val="00191EB7"/>
    <w:rsid w:val="001930C4"/>
    <w:rsid w:val="00193199"/>
    <w:rsid w:val="00193590"/>
    <w:rsid w:val="0019416B"/>
    <w:rsid w:val="00194BBA"/>
    <w:rsid w:val="00194CD0"/>
    <w:rsid w:val="00194F3F"/>
    <w:rsid w:val="001952B2"/>
    <w:rsid w:val="00195AD6"/>
    <w:rsid w:val="001962E3"/>
    <w:rsid w:val="00196D88"/>
    <w:rsid w:val="00196FC6"/>
    <w:rsid w:val="00197530"/>
    <w:rsid w:val="0019781F"/>
    <w:rsid w:val="00197D3C"/>
    <w:rsid w:val="001A06A7"/>
    <w:rsid w:val="001A08FD"/>
    <w:rsid w:val="001A1925"/>
    <w:rsid w:val="001A1952"/>
    <w:rsid w:val="001A1B2C"/>
    <w:rsid w:val="001A2474"/>
    <w:rsid w:val="001A2F6D"/>
    <w:rsid w:val="001A30C6"/>
    <w:rsid w:val="001A3A18"/>
    <w:rsid w:val="001A47B0"/>
    <w:rsid w:val="001A497E"/>
    <w:rsid w:val="001A4AF6"/>
    <w:rsid w:val="001A539F"/>
    <w:rsid w:val="001A5E38"/>
    <w:rsid w:val="001A5FC0"/>
    <w:rsid w:val="001A60B2"/>
    <w:rsid w:val="001A62FA"/>
    <w:rsid w:val="001A68FB"/>
    <w:rsid w:val="001A717C"/>
    <w:rsid w:val="001A7924"/>
    <w:rsid w:val="001A7BDE"/>
    <w:rsid w:val="001B0055"/>
    <w:rsid w:val="001B04D6"/>
    <w:rsid w:val="001B0F1E"/>
    <w:rsid w:val="001B101B"/>
    <w:rsid w:val="001B1539"/>
    <w:rsid w:val="001B1A3F"/>
    <w:rsid w:val="001B1B61"/>
    <w:rsid w:val="001B1B9A"/>
    <w:rsid w:val="001B1F45"/>
    <w:rsid w:val="001B2BAB"/>
    <w:rsid w:val="001B2CEC"/>
    <w:rsid w:val="001B2E2C"/>
    <w:rsid w:val="001B38FF"/>
    <w:rsid w:val="001B3C1A"/>
    <w:rsid w:val="001B402B"/>
    <w:rsid w:val="001B4BBE"/>
    <w:rsid w:val="001B4C25"/>
    <w:rsid w:val="001B52E8"/>
    <w:rsid w:val="001B556B"/>
    <w:rsid w:val="001B6CE7"/>
    <w:rsid w:val="001B717E"/>
    <w:rsid w:val="001B7DBA"/>
    <w:rsid w:val="001C0D44"/>
    <w:rsid w:val="001C14A4"/>
    <w:rsid w:val="001C1D13"/>
    <w:rsid w:val="001C2449"/>
    <w:rsid w:val="001C2623"/>
    <w:rsid w:val="001C287F"/>
    <w:rsid w:val="001C3705"/>
    <w:rsid w:val="001C3967"/>
    <w:rsid w:val="001C3BD1"/>
    <w:rsid w:val="001C45E2"/>
    <w:rsid w:val="001C4993"/>
    <w:rsid w:val="001C4A6B"/>
    <w:rsid w:val="001C5037"/>
    <w:rsid w:val="001C5499"/>
    <w:rsid w:val="001C58C0"/>
    <w:rsid w:val="001C5CF2"/>
    <w:rsid w:val="001C5E55"/>
    <w:rsid w:val="001C6505"/>
    <w:rsid w:val="001C657E"/>
    <w:rsid w:val="001C6595"/>
    <w:rsid w:val="001C664F"/>
    <w:rsid w:val="001C6710"/>
    <w:rsid w:val="001C7342"/>
    <w:rsid w:val="001C753C"/>
    <w:rsid w:val="001D0DD5"/>
    <w:rsid w:val="001D0E8E"/>
    <w:rsid w:val="001D0EBA"/>
    <w:rsid w:val="001D0F33"/>
    <w:rsid w:val="001D0FAC"/>
    <w:rsid w:val="001D15BA"/>
    <w:rsid w:val="001D1DBA"/>
    <w:rsid w:val="001D1F34"/>
    <w:rsid w:val="001D2171"/>
    <w:rsid w:val="001D245B"/>
    <w:rsid w:val="001D255C"/>
    <w:rsid w:val="001D281D"/>
    <w:rsid w:val="001D2988"/>
    <w:rsid w:val="001D3234"/>
    <w:rsid w:val="001D3300"/>
    <w:rsid w:val="001D3AA2"/>
    <w:rsid w:val="001D4937"/>
    <w:rsid w:val="001D572D"/>
    <w:rsid w:val="001D5E6C"/>
    <w:rsid w:val="001D68BF"/>
    <w:rsid w:val="001D7137"/>
    <w:rsid w:val="001D7C18"/>
    <w:rsid w:val="001D7ED5"/>
    <w:rsid w:val="001E065E"/>
    <w:rsid w:val="001E0D5F"/>
    <w:rsid w:val="001E139C"/>
    <w:rsid w:val="001E1CDC"/>
    <w:rsid w:val="001E2CEA"/>
    <w:rsid w:val="001E2DCB"/>
    <w:rsid w:val="001E3003"/>
    <w:rsid w:val="001E3005"/>
    <w:rsid w:val="001E348C"/>
    <w:rsid w:val="001E38A0"/>
    <w:rsid w:val="001E398D"/>
    <w:rsid w:val="001E39E2"/>
    <w:rsid w:val="001E44B8"/>
    <w:rsid w:val="001E5196"/>
    <w:rsid w:val="001E5216"/>
    <w:rsid w:val="001E561C"/>
    <w:rsid w:val="001E5956"/>
    <w:rsid w:val="001E659F"/>
    <w:rsid w:val="001E65E5"/>
    <w:rsid w:val="001E6F60"/>
    <w:rsid w:val="001E7423"/>
    <w:rsid w:val="001E7542"/>
    <w:rsid w:val="001E7667"/>
    <w:rsid w:val="001E76B2"/>
    <w:rsid w:val="001E76E9"/>
    <w:rsid w:val="001E7EBB"/>
    <w:rsid w:val="001F034F"/>
    <w:rsid w:val="001F0DFF"/>
    <w:rsid w:val="001F10F3"/>
    <w:rsid w:val="001F1545"/>
    <w:rsid w:val="001F1616"/>
    <w:rsid w:val="001F23B8"/>
    <w:rsid w:val="001F2C81"/>
    <w:rsid w:val="001F2E96"/>
    <w:rsid w:val="001F3376"/>
    <w:rsid w:val="001F4000"/>
    <w:rsid w:val="001F4363"/>
    <w:rsid w:val="001F45BA"/>
    <w:rsid w:val="001F4A4F"/>
    <w:rsid w:val="001F4AA9"/>
    <w:rsid w:val="001F5999"/>
    <w:rsid w:val="001F6739"/>
    <w:rsid w:val="001F6853"/>
    <w:rsid w:val="001F712D"/>
    <w:rsid w:val="001F73BD"/>
    <w:rsid w:val="001F789D"/>
    <w:rsid w:val="00200070"/>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5A2"/>
    <w:rsid w:val="002035E2"/>
    <w:rsid w:val="002039A6"/>
    <w:rsid w:val="0020416A"/>
    <w:rsid w:val="00206A9E"/>
    <w:rsid w:val="00206B90"/>
    <w:rsid w:val="0020741A"/>
    <w:rsid w:val="00207B1F"/>
    <w:rsid w:val="00207C8D"/>
    <w:rsid w:val="00210BC5"/>
    <w:rsid w:val="00210D1E"/>
    <w:rsid w:val="00211B71"/>
    <w:rsid w:val="00211BA3"/>
    <w:rsid w:val="002122BE"/>
    <w:rsid w:val="0021265B"/>
    <w:rsid w:val="00212721"/>
    <w:rsid w:val="002129EC"/>
    <w:rsid w:val="00212AC5"/>
    <w:rsid w:val="00213178"/>
    <w:rsid w:val="00213917"/>
    <w:rsid w:val="00213E4E"/>
    <w:rsid w:val="00214352"/>
    <w:rsid w:val="002156F4"/>
    <w:rsid w:val="00215A73"/>
    <w:rsid w:val="00216218"/>
    <w:rsid w:val="00216FA3"/>
    <w:rsid w:val="002175CA"/>
    <w:rsid w:val="0021765D"/>
    <w:rsid w:val="00217867"/>
    <w:rsid w:val="00217E90"/>
    <w:rsid w:val="002200E5"/>
    <w:rsid w:val="0022015D"/>
    <w:rsid w:val="0022023F"/>
    <w:rsid w:val="002208EF"/>
    <w:rsid w:val="0022122C"/>
    <w:rsid w:val="00221C4B"/>
    <w:rsid w:val="00221DBB"/>
    <w:rsid w:val="00222476"/>
    <w:rsid w:val="00222498"/>
    <w:rsid w:val="0022295B"/>
    <w:rsid w:val="00223270"/>
    <w:rsid w:val="00223456"/>
    <w:rsid w:val="00223958"/>
    <w:rsid w:val="002239ED"/>
    <w:rsid w:val="002242F7"/>
    <w:rsid w:val="00224527"/>
    <w:rsid w:val="00225419"/>
    <w:rsid w:val="00225D0F"/>
    <w:rsid w:val="00226036"/>
    <w:rsid w:val="0022638A"/>
    <w:rsid w:val="002271BB"/>
    <w:rsid w:val="002278FD"/>
    <w:rsid w:val="00227C6E"/>
    <w:rsid w:val="00230301"/>
    <w:rsid w:val="00230941"/>
    <w:rsid w:val="00230DB1"/>
    <w:rsid w:val="00230FAF"/>
    <w:rsid w:val="0023192B"/>
    <w:rsid w:val="00232D20"/>
    <w:rsid w:val="002339AF"/>
    <w:rsid w:val="00234C5C"/>
    <w:rsid w:val="00234C92"/>
    <w:rsid w:val="0023581F"/>
    <w:rsid w:val="00236EE4"/>
    <w:rsid w:val="002370D4"/>
    <w:rsid w:val="00237123"/>
    <w:rsid w:val="00237304"/>
    <w:rsid w:val="00237F88"/>
    <w:rsid w:val="00240143"/>
    <w:rsid w:val="00240754"/>
    <w:rsid w:val="00241231"/>
    <w:rsid w:val="002416EC"/>
    <w:rsid w:val="00241A18"/>
    <w:rsid w:val="00241A44"/>
    <w:rsid w:val="0024212C"/>
    <w:rsid w:val="00242294"/>
    <w:rsid w:val="0024293C"/>
    <w:rsid w:val="00242F07"/>
    <w:rsid w:val="0024355B"/>
    <w:rsid w:val="00243A52"/>
    <w:rsid w:val="0024491E"/>
    <w:rsid w:val="002449A0"/>
    <w:rsid w:val="00246342"/>
    <w:rsid w:val="002463EE"/>
    <w:rsid w:val="00246A8C"/>
    <w:rsid w:val="0024702D"/>
    <w:rsid w:val="00247499"/>
    <w:rsid w:val="002477EA"/>
    <w:rsid w:val="0025002D"/>
    <w:rsid w:val="00250ECF"/>
    <w:rsid w:val="00251501"/>
    <w:rsid w:val="002528A4"/>
    <w:rsid w:val="00252AE9"/>
    <w:rsid w:val="00253E2E"/>
    <w:rsid w:val="00253E50"/>
    <w:rsid w:val="00253F2E"/>
    <w:rsid w:val="002547D7"/>
    <w:rsid w:val="00254B95"/>
    <w:rsid w:val="00255079"/>
    <w:rsid w:val="0025663E"/>
    <w:rsid w:val="00256ADA"/>
    <w:rsid w:val="00257248"/>
    <w:rsid w:val="002576D9"/>
    <w:rsid w:val="00257A10"/>
    <w:rsid w:val="00260555"/>
    <w:rsid w:val="0026093D"/>
    <w:rsid w:val="00260C02"/>
    <w:rsid w:val="00260D02"/>
    <w:rsid w:val="002614BB"/>
    <w:rsid w:val="00262989"/>
    <w:rsid w:val="00263E30"/>
    <w:rsid w:val="00264ABD"/>
    <w:rsid w:val="00264D4B"/>
    <w:rsid w:val="00265F44"/>
    <w:rsid w:val="0026606D"/>
    <w:rsid w:val="0026631F"/>
    <w:rsid w:val="0026703B"/>
    <w:rsid w:val="002700FF"/>
    <w:rsid w:val="00270B1A"/>
    <w:rsid w:val="002710FE"/>
    <w:rsid w:val="00271651"/>
    <w:rsid w:val="00271E39"/>
    <w:rsid w:val="00273815"/>
    <w:rsid w:val="00273955"/>
    <w:rsid w:val="00273BB4"/>
    <w:rsid w:val="00274342"/>
    <w:rsid w:val="002743D1"/>
    <w:rsid w:val="00274406"/>
    <w:rsid w:val="0027532E"/>
    <w:rsid w:val="002759AD"/>
    <w:rsid w:val="00275C76"/>
    <w:rsid w:val="00275E0C"/>
    <w:rsid w:val="00276682"/>
    <w:rsid w:val="00276D46"/>
    <w:rsid w:val="0027724E"/>
    <w:rsid w:val="002773D2"/>
    <w:rsid w:val="00277E17"/>
    <w:rsid w:val="002801E1"/>
    <w:rsid w:val="00280306"/>
    <w:rsid w:val="00280DDE"/>
    <w:rsid w:val="0028113D"/>
    <w:rsid w:val="0028157A"/>
    <w:rsid w:val="00281CE0"/>
    <w:rsid w:val="00282E9C"/>
    <w:rsid w:val="00283766"/>
    <w:rsid w:val="00283B39"/>
    <w:rsid w:val="00284138"/>
    <w:rsid w:val="002842DB"/>
    <w:rsid w:val="002847BE"/>
    <w:rsid w:val="00284A50"/>
    <w:rsid w:val="00285382"/>
    <w:rsid w:val="002853E0"/>
    <w:rsid w:val="00285551"/>
    <w:rsid w:val="00285646"/>
    <w:rsid w:val="00286920"/>
    <w:rsid w:val="0028708A"/>
    <w:rsid w:val="00287121"/>
    <w:rsid w:val="0028752E"/>
    <w:rsid w:val="00287A04"/>
    <w:rsid w:val="00287B64"/>
    <w:rsid w:val="00290154"/>
    <w:rsid w:val="00291808"/>
    <w:rsid w:val="00292C99"/>
    <w:rsid w:val="00292D33"/>
    <w:rsid w:val="002951D6"/>
    <w:rsid w:val="00295261"/>
    <w:rsid w:val="00296472"/>
    <w:rsid w:val="00296932"/>
    <w:rsid w:val="00297331"/>
    <w:rsid w:val="0029790A"/>
    <w:rsid w:val="00297B3F"/>
    <w:rsid w:val="00297C79"/>
    <w:rsid w:val="00297FE2"/>
    <w:rsid w:val="002A002D"/>
    <w:rsid w:val="002A0154"/>
    <w:rsid w:val="002A0199"/>
    <w:rsid w:val="002A05D3"/>
    <w:rsid w:val="002A0F3C"/>
    <w:rsid w:val="002A1AD1"/>
    <w:rsid w:val="002A1DBF"/>
    <w:rsid w:val="002A2361"/>
    <w:rsid w:val="002A239A"/>
    <w:rsid w:val="002A2AAD"/>
    <w:rsid w:val="002A2BEF"/>
    <w:rsid w:val="002A2F4F"/>
    <w:rsid w:val="002A354B"/>
    <w:rsid w:val="002A3777"/>
    <w:rsid w:val="002A3ED5"/>
    <w:rsid w:val="002A4020"/>
    <w:rsid w:val="002A4CB3"/>
    <w:rsid w:val="002A5488"/>
    <w:rsid w:val="002A54DC"/>
    <w:rsid w:val="002A5CD3"/>
    <w:rsid w:val="002A5D2D"/>
    <w:rsid w:val="002A6D2E"/>
    <w:rsid w:val="002A6DFD"/>
    <w:rsid w:val="002A7068"/>
    <w:rsid w:val="002A7D1C"/>
    <w:rsid w:val="002B0085"/>
    <w:rsid w:val="002B05AF"/>
    <w:rsid w:val="002B11F7"/>
    <w:rsid w:val="002B1CF9"/>
    <w:rsid w:val="002B1E2A"/>
    <w:rsid w:val="002B1E67"/>
    <w:rsid w:val="002B20F2"/>
    <w:rsid w:val="002B2717"/>
    <w:rsid w:val="002B2D6B"/>
    <w:rsid w:val="002B31C3"/>
    <w:rsid w:val="002B3A4D"/>
    <w:rsid w:val="002B3E14"/>
    <w:rsid w:val="002B429E"/>
    <w:rsid w:val="002B54D4"/>
    <w:rsid w:val="002B5750"/>
    <w:rsid w:val="002B59ED"/>
    <w:rsid w:val="002B613F"/>
    <w:rsid w:val="002B69DC"/>
    <w:rsid w:val="002B6AD4"/>
    <w:rsid w:val="002B6FD1"/>
    <w:rsid w:val="002B745F"/>
    <w:rsid w:val="002B7830"/>
    <w:rsid w:val="002B7831"/>
    <w:rsid w:val="002B7E4D"/>
    <w:rsid w:val="002C0D98"/>
    <w:rsid w:val="002C1C18"/>
    <w:rsid w:val="002C1E4A"/>
    <w:rsid w:val="002C1F5A"/>
    <w:rsid w:val="002C2B84"/>
    <w:rsid w:val="002C2E38"/>
    <w:rsid w:val="002C301F"/>
    <w:rsid w:val="002C3599"/>
    <w:rsid w:val="002C39BB"/>
    <w:rsid w:val="002C3C99"/>
    <w:rsid w:val="002C3EC8"/>
    <w:rsid w:val="002C421B"/>
    <w:rsid w:val="002C44C3"/>
    <w:rsid w:val="002C4585"/>
    <w:rsid w:val="002C4705"/>
    <w:rsid w:val="002C5734"/>
    <w:rsid w:val="002C5999"/>
    <w:rsid w:val="002C6512"/>
    <w:rsid w:val="002C7AD2"/>
    <w:rsid w:val="002D0954"/>
    <w:rsid w:val="002D0FF9"/>
    <w:rsid w:val="002D23CA"/>
    <w:rsid w:val="002D2AB6"/>
    <w:rsid w:val="002D2D80"/>
    <w:rsid w:val="002D2EE3"/>
    <w:rsid w:val="002D2F7C"/>
    <w:rsid w:val="002D33D7"/>
    <w:rsid w:val="002D4182"/>
    <w:rsid w:val="002D531A"/>
    <w:rsid w:val="002D5617"/>
    <w:rsid w:val="002D68B3"/>
    <w:rsid w:val="002D7056"/>
    <w:rsid w:val="002D72DE"/>
    <w:rsid w:val="002D758B"/>
    <w:rsid w:val="002D7D97"/>
    <w:rsid w:val="002D7DBD"/>
    <w:rsid w:val="002E0749"/>
    <w:rsid w:val="002E0856"/>
    <w:rsid w:val="002E0D4F"/>
    <w:rsid w:val="002E1905"/>
    <w:rsid w:val="002E1AF0"/>
    <w:rsid w:val="002E1BC6"/>
    <w:rsid w:val="002E1DF8"/>
    <w:rsid w:val="002E2378"/>
    <w:rsid w:val="002E2695"/>
    <w:rsid w:val="002E358B"/>
    <w:rsid w:val="002E38BC"/>
    <w:rsid w:val="002E3EFC"/>
    <w:rsid w:val="002E4069"/>
    <w:rsid w:val="002E4922"/>
    <w:rsid w:val="002E4E0C"/>
    <w:rsid w:val="002E55D6"/>
    <w:rsid w:val="002E6486"/>
    <w:rsid w:val="002E684D"/>
    <w:rsid w:val="002E7145"/>
    <w:rsid w:val="002E76A6"/>
    <w:rsid w:val="002E7D8C"/>
    <w:rsid w:val="002F055B"/>
    <w:rsid w:val="002F0A15"/>
    <w:rsid w:val="002F0AD5"/>
    <w:rsid w:val="002F1624"/>
    <w:rsid w:val="002F194B"/>
    <w:rsid w:val="002F19B3"/>
    <w:rsid w:val="002F1DA9"/>
    <w:rsid w:val="002F1FD6"/>
    <w:rsid w:val="002F2865"/>
    <w:rsid w:val="002F3497"/>
    <w:rsid w:val="002F34CA"/>
    <w:rsid w:val="002F3510"/>
    <w:rsid w:val="002F41A6"/>
    <w:rsid w:val="002F41FE"/>
    <w:rsid w:val="002F47F4"/>
    <w:rsid w:val="002F4B10"/>
    <w:rsid w:val="002F53FA"/>
    <w:rsid w:val="002F5C89"/>
    <w:rsid w:val="002F6205"/>
    <w:rsid w:val="002F68B5"/>
    <w:rsid w:val="002F6B30"/>
    <w:rsid w:val="002F6C9F"/>
    <w:rsid w:val="0030039C"/>
    <w:rsid w:val="00300950"/>
    <w:rsid w:val="00300B98"/>
    <w:rsid w:val="00300F1C"/>
    <w:rsid w:val="003010AA"/>
    <w:rsid w:val="003016B5"/>
    <w:rsid w:val="00301F4B"/>
    <w:rsid w:val="00302429"/>
    <w:rsid w:val="00302AE6"/>
    <w:rsid w:val="00302D20"/>
    <w:rsid w:val="00302EDD"/>
    <w:rsid w:val="00303124"/>
    <w:rsid w:val="003032CF"/>
    <w:rsid w:val="00303710"/>
    <w:rsid w:val="003048B3"/>
    <w:rsid w:val="00304A1C"/>
    <w:rsid w:val="00304D52"/>
    <w:rsid w:val="00305877"/>
    <w:rsid w:val="00305B43"/>
    <w:rsid w:val="00305CA0"/>
    <w:rsid w:val="00305CFD"/>
    <w:rsid w:val="00305F1E"/>
    <w:rsid w:val="003067C9"/>
    <w:rsid w:val="00306F17"/>
    <w:rsid w:val="0030719B"/>
    <w:rsid w:val="003074F8"/>
    <w:rsid w:val="00307D12"/>
    <w:rsid w:val="00310567"/>
    <w:rsid w:val="003111AC"/>
    <w:rsid w:val="00311F74"/>
    <w:rsid w:val="003126B1"/>
    <w:rsid w:val="00312760"/>
    <w:rsid w:val="00312838"/>
    <w:rsid w:val="003135E5"/>
    <w:rsid w:val="00313BE2"/>
    <w:rsid w:val="0031435B"/>
    <w:rsid w:val="0031461E"/>
    <w:rsid w:val="00314BFE"/>
    <w:rsid w:val="00315476"/>
    <w:rsid w:val="00315794"/>
    <w:rsid w:val="003169FC"/>
    <w:rsid w:val="00316AB4"/>
    <w:rsid w:val="00316E83"/>
    <w:rsid w:val="00317043"/>
    <w:rsid w:val="0031743B"/>
    <w:rsid w:val="00317B07"/>
    <w:rsid w:val="00317BA7"/>
    <w:rsid w:val="0032042C"/>
    <w:rsid w:val="00320615"/>
    <w:rsid w:val="00320B4C"/>
    <w:rsid w:val="00321339"/>
    <w:rsid w:val="00321B15"/>
    <w:rsid w:val="00321C6E"/>
    <w:rsid w:val="00322425"/>
    <w:rsid w:val="00322998"/>
    <w:rsid w:val="00323692"/>
    <w:rsid w:val="00323B48"/>
    <w:rsid w:val="00323ECD"/>
    <w:rsid w:val="00324918"/>
    <w:rsid w:val="003249C8"/>
    <w:rsid w:val="00324C35"/>
    <w:rsid w:val="00324C56"/>
    <w:rsid w:val="003253A5"/>
    <w:rsid w:val="003257C1"/>
    <w:rsid w:val="00325DC3"/>
    <w:rsid w:val="00326107"/>
    <w:rsid w:val="00326229"/>
    <w:rsid w:val="00326BEA"/>
    <w:rsid w:val="00326C85"/>
    <w:rsid w:val="00326CB0"/>
    <w:rsid w:val="0032729D"/>
    <w:rsid w:val="00327BAD"/>
    <w:rsid w:val="0033038A"/>
    <w:rsid w:val="003303E1"/>
    <w:rsid w:val="0033111B"/>
    <w:rsid w:val="003314FA"/>
    <w:rsid w:val="003317A3"/>
    <w:rsid w:val="00331E81"/>
    <w:rsid w:val="00332C53"/>
    <w:rsid w:val="00332C73"/>
    <w:rsid w:val="00333240"/>
    <w:rsid w:val="003333B3"/>
    <w:rsid w:val="003335B9"/>
    <w:rsid w:val="00333D4B"/>
    <w:rsid w:val="0033432D"/>
    <w:rsid w:val="003359F3"/>
    <w:rsid w:val="00335D2E"/>
    <w:rsid w:val="00336346"/>
    <w:rsid w:val="00336468"/>
    <w:rsid w:val="00336D3E"/>
    <w:rsid w:val="00337566"/>
    <w:rsid w:val="003375C4"/>
    <w:rsid w:val="00337B80"/>
    <w:rsid w:val="0034014E"/>
    <w:rsid w:val="00340FFF"/>
    <w:rsid w:val="003412AE"/>
    <w:rsid w:val="003417EA"/>
    <w:rsid w:val="00341E2C"/>
    <w:rsid w:val="003420D3"/>
    <w:rsid w:val="00342AB5"/>
    <w:rsid w:val="00343155"/>
    <w:rsid w:val="00343639"/>
    <w:rsid w:val="003438FD"/>
    <w:rsid w:val="00343FE2"/>
    <w:rsid w:val="00344384"/>
    <w:rsid w:val="00344539"/>
    <w:rsid w:val="00344B20"/>
    <w:rsid w:val="00344F35"/>
    <w:rsid w:val="00345104"/>
    <w:rsid w:val="00347A69"/>
    <w:rsid w:val="00347BE0"/>
    <w:rsid w:val="003507D5"/>
    <w:rsid w:val="003509EC"/>
    <w:rsid w:val="00350FC9"/>
    <w:rsid w:val="00351166"/>
    <w:rsid w:val="003511E8"/>
    <w:rsid w:val="00351D72"/>
    <w:rsid w:val="00351EF4"/>
    <w:rsid w:val="00352319"/>
    <w:rsid w:val="00352987"/>
    <w:rsid w:val="003530CE"/>
    <w:rsid w:val="00353275"/>
    <w:rsid w:val="003534E6"/>
    <w:rsid w:val="00353683"/>
    <w:rsid w:val="00353F4D"/>
    <w:rsid w:val="00354381"/>
    <w:rsid w:val="0035445C"/>
    <w:rsid w:val="003544A1"/>
    <w:rsid w:val="00354AC9"/>
    <w:rsid w:val="00354BF9"/>
    <w:rsid w:val="00354E82"/>
    <w:rsid w:val="00355477"/>
    <w:rsid w:val="003554D8"/>
    <w:rsid w:val="00355601"/>
    <w:rsid w:val="0035587E"/>
    <w:rsid w:val="00356106"/>
    <w:rsid w:val="00356194"/>
    <w:rsid w:val="00356CE7"/>
    <w:rsid w:val="00357AE6"/>
    <w:rsid w:val="00357D08"/>
    <w:rsid w:val="00361119"/>
    <w:rsid w:val="0036136A"/>
    <w:rsid w:val="0036184D"/>
    <w:rsid w:val="0036194F"/>
    <w:rsid w:val="00361B8F"/>
    <w:rsid w:val="00361FA5"/>
    <w:rsid w:val="003628CF"/>
    <w:rsid w:val="00362B01"/>
    <w:rsid w:val="00362EE5"/>
    <w:rsid w:val="00363EEF"/>
    <w:rsid w:val="00364467"/>
    <w:rsid w:val="003644E5"/>
    <w:rsid w:val="003647AC"/>
    <w:rsid w:val="003648F0"/>
    <w:rsid w:val="0036660E"/>
    <w:rsid w:val="00366AC3"/>
    <w:rsid w:val="003678FF"/>
    <w:rsid w:val="00367C1E"/>
    <w:rsid w:val="0037074A"/>
    <w:rsid w:val="0037152B"/>
    <w:rsid w:val="00371AD0"/>
    <w:rsid w:val="00371C08"/>
    <w:rsid w:val="00372C0B"/>
    <w:rsid w:val="00373F5D"/>
    <w:rsid w:val="00374071"/>
    <w:rsid w:val="00375926"/>
    <w:rsid w:val="00376406"/>
    <w:rsid w:val="00376490"/>
    <w:rsid w:val="0037653B"/>
    <w:rsid w:val="0037697A"/>
    <w:rsid w:val="003769C5"/>
    <w:rsid w:val="003769D2"/>
    <w:rsid w:val="00376BCB"/>
    <w:rsid w:val="00377343"/>
    <w:rsid w:val="00377CED"/>
    <w:rsid w:val="003800FE"/>
    <w:rsid w:val="00380BF0"/>
    <w:rsid w:val="003814EC"/>
    <w:rsid w:val="00382979"/>
    <w:rsid w:val="0038364B"/>
    <w:rsid w:val="00383B8B"/>
    <w:rsid w:val="00383FEA"/>
    <w:rsid w:val="0038400C"/>
    <w:rsid w:val="0038420B"/>
    <w:rsid w:val="00384B2E"/>
    <w:rsid w:val="00384D9C"/>
    <w:rsid w:val="00384F00"/>
    <w:rsid w:val="003851AB"/>
    <w:rsid w:val="00385341"/>
    <w:rsid w:val="00385ACF"/>
    <w:rsid w:val="003868CE"/>
    <w:rsid w:val="00386CDB"/>
    <w:rsid w:val="00387292"/>
    <w:rsid w:val="0038760E"/>
    <w:rsid w:val="00387E16"/>
    <w:rsid w:val="003905CE"/>
    <w:rsid w:val="00391214"/>
    <w:rsid w:val="00391415"/>
    <w:rsid w:val="00391E48"/>
    <w:rsid w:val="00391F24"/>
    <w:rsid w:val="00392731"/>
    <w:rsid w:val="00392D15"/>
    <w:rsid w:val="00392E0A"/>
    <w:rsid w:val="00392EBD"/>
    <w:rsid w:val="00396FF4"/>
    <w:rsid w:val="00397542"/>
    <w:rsid w:val="0039779F"/>
    <w:rsid w:val="00397E92"/>
    <w:rsid w:val="003A0806"/>
    <w:rsid w:val="003A09DD"/>
    <w:rsid w:val="003A0B36"/>
    <w:rsid w:val="003A0D45"/>
    <w:rsid w:val="003A14F6"/>
    <w:rsid w:val="003A15B1"/>
    <w:rsid w:val="003A2241"/>
    <w:rsid w:val="003A225B"/>
    <w:rsid w:val="003A24D2"/>
    <w:rsid w:val="003A285E"/>
    <w:rsid w:val="003A342D"/>
    <w:rsid w:val="003A42D5"/>
    <w:rsid w:val="003A431F"/>
    <w:rsid w:val="003A4DD3"/>
    <w:rsid w:val="003A4EC4"/>
    <w:rsid w:val="003A54EB"/>
    <w:rsid w:val="003A5A26"/>
    <w:rsid w:val="003A5AF1"/>
    <w:rsid w:val="003A6461"/>
    <w:rsid w:val="003A66A7"/>
    <w:rsid w:val="003A78D4"/>
    <w:rsid w:val="003B14AC"/>
    <w:rsid w:val="003B1728"/>
    <w:rsid w:val="003B22FD"/>
    <w:rsid w:val="003B2A3C"/>
    <w:rsid w:val="003B2BAF"/>
    <w:rsid w:val="003B3960"/>
    <w:rsid w:val="003B3B5F"/>
    <w:rsid w:val="003B4E64"/>
    <w:rsid w:val="003B5107"/>
    <w:rsid w:val="003B557B"/>
    <w:rsid w:val="003B5D1A"/>
    <w:rsid w:val="003B649F"/>
    <w:rsid w:val="003B65FE"/>
    <w:rsid w:val="003B6841"/>
    <w:rsid w:val="003B6E07"/>
    <w:rsid w:val="003B6F3B"/>
    <w:rsid w:val="003B716A"/>
    <w:rsid w:val="003B7265"/>
    <w:rsid w:val="003B75E5"/>
    <w:rsid w:val="003B7B50"/>
    <w:rsid w:val="003C008D"/>
    <w:rsid w:val="003C0518"/>
    <w:rsid w:val="003C0848"/>
    <w:rsid w:val="003C09E6"/>
    <w:rsid w:val="003C0E9E"/>
    <w:rsid w:val="003C0F97"/>
    <w:rsid w:val="003C1DD7"/>
    <w:rsid w:val="003C2385"/>
    <w:rsid w:val="003C2848"/>
    <w:rsid w:val="003C2C59"/>
    <w:rsid w:val="003C364C"/>
    <w:rsid w:val="003C37F9"/>
    <w:rsid w:val="003C3C18"/>
    <w:rsid w:val="003C4190"/>
    <w:rsid w:val="003C498B"/>
    <w:rsid w:val="003C59F8"/>
    <w:rsid w:val="003C5E57"/>
    <w:rsid w:val="003C6007"/>
    <w:rsid w:val="003C6274"/>
    <w:rsid w:val="003C6D74"/>
    <w:rsid w:val="003C7202"/>
    <w:rsid w:val="003C7BFC"/>
    <w:rsid w:val="003D030B"/>
    <w:rsid w:val="003D0C25"/>
    <w:rsid w:val="003D0D45"/>
    <w:rsid w:val="003D0DAA"/>
    <w:rsid w:val="003D1624"/>
    <w:rsid w:val="003D2355"/>
    <w:rsid w:val="003D3C9E"/>
    <w:rsid w:val="003D3FA8"/>
    <w:rsid w:val="003D49B1"/>
    <w:rsid w:val="003D4D63"/>
    <w:rsid w:val="003D5DDA"/>
    <w:rsid w:val="003D6A23"/>
    <w:rsid w:val="003E026F"/>
    <w:rsid w:val="003E1953"/>
    <w:rsid w:val="003E1E43"/>
    <w:rsid w:val="003E2313"/>
    <w:rsid w:val="003E2DAE"/>
    <w:rsid w:val="003E314A"/>
    <w:rsid w:val="003E3266"/>
    <w:rsid w:val="003E3B6D"/>
    <w:rsid w:val="003E3FAA"/>
    <w:rsid w:val="003E471E"/>
    <w:rsid w:val="003E59D4"/>
    <w:rsid w:val="003E6330"/>
    <w:rsid w:val="003E65EC"/>
    <w:rsid w:val="003E7293"/>
    <w:rsid w:val="003E72F8"/>
    <w:rsid w:val="003E7F0F"/>
    <w:rsid w:val="003F06DE"/>
    <w:rsid w:val="003F07BF"/>
    <w:rsid w:val="003F09ED"/>
    <w:rsid w:val="003F09FD"/>
    <w:rsid w:val="003F0BBB"/>
    <w:rsid w:val="003F253D"/>
    <w:rsid w:val="003F2575"/>
    <w:rsid w:val="003F2E9A"/>
    <w:rsid w:val="003F2E9B"/>
    <w:rsid w:val="003F2F14"/>
    <w:rsid w:val="003F3388"/>
    <w:rsid w:val="003F38EA"/>
    <w:rsid w:val="003F3E5D"/>
    <w:rsid w:val="003F3F17"/>
    <w:rsid w:val="003F433B"/>
    <w:rsid w:val="003F483F"/>
    <w:rsid w:val="003F5682"/>
    <w:rsid w:val="003F6299"/>
    <w:rsid w:val="003F68FB"/>
    <w:rsid w:val="003F6985"/>
    <w:rsid w:val="003F6D71"/>
    <w:rsid w:val="003F6DE9"/>
    <w:rsid w:val="003F71EC"/>
    <w:rsid w:val="003F7285"/>
    <w:rsid w:val="003F7A88"/>
    <w:rsid w:val="003F7F96"/>
    <w:rsid w:val="004020CB"/>
    <w:rsid w:val="004021E7"/>
    <w:rsid w:val="00402DA0"/>
    <w:rsid w:val="004037FF"/>
    <w:rsid w:val="00404245"/>
    <w:rsid w:val="00404400"/>
    <w:rsid w:val="004044FC"/>
    <w:rsid w:val="00404526"/>
    <w:rsid w:val="00404553"/>
    <w:rsid w:val="004047DD"/>
    <w:rsid w:val="00404A9D"/>
    <w:rsid w:val="00404AB1"/>
    <w:rsid w:val="00404D42"/>
    <w:rsid w:val="00404D5B"/>
    <w:rsid w:val="004054F6"/>
    <w:rsid w:val="004057D6"/>
    <w:rsid w:val="00405C8F"/>
    <w:rsid w:val="00406AD0"/>
    <w:rsid w:val="00406B56"/>
    <w:rsid w:val="00406B98"/>
    <w:rsid w:val="00406CCC"/>
    <w:rsid w:val="004073F6"/>
    <w:rsid w:val="00407D82"/>
    <w:rsid w:val="00410044"/>
    <w:rsid w:val="00410691"/>
    <w:rsid w:val="0041073D"/>
    <w:rsid w:val="00410EFD"/>
    <w:rsid w:val="00411B14"/>
    <w:rsid w:val="00411F99"/>
    <w:rsid w:val="0041254C"/>
    <w:rsid w:val="00413E23"/>
    <w:rsid w:val="00414782"/>
    <w:rsid w:val="00415048"/>
    <w:rsid w:val="0041511C"/>
    <w:rsid w:val="0041771E"/>
    <w:rsid w:val="00417D35"/>
    <w:rsid w:val="00420B97"/>
    <w:rsid w:val="00421379"/>
    <w:rsid w:val="00421A00"/>
    <w:rsid w:val="00421C89"/>
    <w:rsid w:val="004221F0"/>
    <w:rsid w:val="0042358A"/>
    <w:rsid w:val="0042358B"/>
    <w:rsid w:val="004237BD"/>
    <w:rsid w:val="004238E6"/>
    <w:rsid w:val="00423DCF"/>
    <w:rsid w:val="00423E4A"/>
    <w:rsid w:val="004249A6"/>
    <w:rsid w:val="00424B8B"/>
    <w:rsid w:val="004256B4"/>
    <w:rsid w:val="00425888"/>
    <w:rsid w:val="004263B9"/>
    <w:rsid w:val="004270CF"/>
    <w:rsid w:val="00427121"/>
    <w:rsid w:val="00427F65"/>
    <w:rsid w:val="00430618"/>
    <w:rsid w:val="004306BF"/>
    <w:rsid w:val="004319B7"/>
    <w:rsid w:val="004319E7"/>
    <w:rsid w:val="00431D01"/>
    <w:rsid w:val="00432309"/>
    <w:rsid w:val="004323F2"/>
    <w:rsid w:val="00432786"/>
    <w:rsid w:val="0043297D"/>
    <w:rsid w:val="00432AEB"/>
    <w:rsid w:val="0043380D"/>
    <w:rsid w:val="00433890"/>
    <w:rsid w:val="00433A62"/>
    <w:rsid w:val="0043444F"/>
    <w:rsid w:val="00434AE6"/>
    <w:rsid w:val="00436055"/>
    <w:rsid w:val="00436C0B"/>
    <w:rsid w:val="00436E7D"/>
    <w:rsid w:val="00436FA0"/>
    <w:rsid w:val="00437B06"/>
    <w:rsid w:val="00437F35"/>
    <w:rsid w:val="00440756"/>
    <w:rsid w:val="00441303"/>
    <w:rsid w:val="0044194C"/>
    <w:rsid w:val="00442509"/>
    <w:rsid w:val="00442E19"/>
    <w:rsid w:val="00443214"/>
    <w:rsid w:val="00443B3A"/>
    <w:rsid w:val="00443BA1"/>
    <w:rsid w:val="00445084"/>
    <w:rsid w:val="00445AC2"/>
    <w:rsid w:val="00445E73"/>
    <w:rsid w:val="004460FE"/>
    <w:rsid w:val="0044661E"/>
    <w:rsid w:val="00446DBE"/>
    <w:rsid w:val="00447124"/>
    <w:rsid w:val="00447126"/>
    <w:rsid w:val="00447D38"/>
    <w:rsid w:val="004501D0"/>
    <w:rsid w:val="004502FC"/>
    <w:rsid w:val="00450841"/>
    <w:rsid w:val="00450960"/>
    <w:rsid w:val="00451419"/>
    <w:rsid w:val="0045232D"/>
    <w:rsid w:val="004527C7"/>
    <w:rsid w:val="00452887"/>
    <w:rsid w:val="00452E01"/>
    <w:rsid w:val="0045397E"/>
    <w:rsid w:val="004540BE"/>
    <w:rsid w:val="004540CF"/>
    <w:rsid w:val="00454753"/>
    <w:rsid w:val="00454872"/>
    <w:rsid w:val="00455730"/>
    <w:rsid w:val="00455B69"/>
    <w:rsid w:val="00455C4E"/>
    <w:rsid w:val="00455D18"/>
    <w:rsid w:val="00456802"/>
    <w:rsid w:val="00456C5B"/>
    <w:rsid w:val="00456E08"/>
    <w:rsid w:val="00456E68"/>
    <w:rsid w:val="00457416"/>
    <w:rsid w:val="00457495"/>
    <w:rsid w:val="00457867"/>
    <w:rsid w:val="00457F34"/>
    <w:rsid w:val="00460CDA"/>
    <w:rsid w:val="00461076"/>
    <w:rsid w:val="004610A7"/>
    <w:rsid w:val="00461794"/>
    <w:rsid w:val="00461B91"/>
    <w:rsid w:val="00461B95"/>
    <w:rsid w:val="00462A3A"/>
    <w:rsid w:val="00463395"/>
    <w:rsid w:val="00463DCB"/>
    <w:rsid w:val="00463E77"/>
    <w:rsid w:val="00464284"/>
    <w:rsid w:val="00464B2A"/>
    <w:rsid w:val="00465646"/>
    <w:rsid w:val="00465E4F"/>
    <w:rsid w:val="004661E9"/>
    <w:rsid w:val="0046633A"/>
    <w:rsid w:val="004665F3"/>
    <w:rsid w:val="00466968"/>
    <w:rsid w:val="00467494"/>
    <w:rsid w:val="00467A95"/>
    <w:rsid w:val="00470181"/>
    <w:rsid w:val="004702CB"/>
    <w:rsid w:val="00471755"/>
    <w:rsid w:val="00471ABB"/>
    <w:rsid w:val="00471B1C"/>
    <w:rsid w:val="00471B5C"/>
    <w:rsid w:val="00471C20"/>
    <w:rsid w:val="00472EFB"/>
    <w:rsid w:val="0047359D"/>
    <w:rsid w:val="00473F6D"/>
    <w:rsid w:val="00474118"/>
    <w:rsid w:val="004745B6"/>
    <w:rsid w:val="00474930"/>
    <w:rsid w:val="00474A7C"/>
    <w:rsid w:val="00474D81"/>
    <w:rsid w:val="0047516D"/>
    <w:rsid w:val="004755D4"/>
    <w:rsid w:val="00475796"/>
    <w:rsid w:val="00475CA9"/>
    <w:rsid w:val="00475D2E"/>
    <w:rsid w:val="00475E8B"/>
    <w:rsid w:val="0047660F"/>
    <w:rsid w:val="00476D89"/>
    <w:rsid w:val="00477522"/>
    <w:rsid w:val="004775CD"/>
    <w:rsid w:val="004778E3"/>
    <w:rsid w:val="00477A2C"/>
    <w:rsid w:val="00477B8E"/>
    <w:rsid w:val="00480345"/>
    <w:rsid w:val="0048049E"/>
    <w:rsid w:val="004805C3"/>
    <w:rsid w:val="00480C19"/>
    <w:rsid w:val="00481759"/>
    <w:rsid w:val="00481AC6"/>
    <w:rsid w:val="004820B5"/>
    <w:rsid w:val="00482B36"/>
    <w:rsid w:val="00483630"/>
    <w:rsid w:val="004836E6"/>
    <w:rsid w:val="00483755"/>
    <w:rsid w:val="004839BA"/>
    <w:rsid w:val="00483AE4"/>
    <w:rsid w:val="00483B8E"/>
    <w:rsid w:val="00484004"/>
    <w:rsid w:val="00484B82"/>
    <w:rsid w:val="00486380"/>
    <w:rsid w:val="004867AB"/>
    <w:rsid w:val="0048698A"/>
    <w:rsid w:val="00486ABF"/>
    <w:rsid w:val="00487345"/>
    <w:rsid w:val="00487F53"/>
    <w:rsid w:val="00490278"/>
    <w:rsid w:val="004903D9"/>
    <w:rsid w:val="0049040C"/>
    <w:rsid w:val="0049080C"/>
    <w:rsid w:val="00491074"/>
    <w:rsid w:val="00491653"/>
    <w:rsid w:val="00491A0A"/>
    <w:rsid w:val="00491A66"/>
    <w:rsid w:val="00492131"/>
    <w:rsid w:val="004934D2"/>
    <w:rsid w:val="004939C8"/>
    <w:rsid w:val="004940EB"/>
    <w:rsid w:val="00494118"/>
    <w:rsid w:val="0049447B"/>
    <w:rsid w:val="004944AC"/>
    <w:rsid w:val="00494B58"/>
    <w:rsid w:val="0049517C"/>
    <w:rsid w:val="00495455"/>
    <w:rsid w:val="004960E2"/>
    <w:rsid w:val="00496213"/>
    <w:rsid w:val="004968ED"/>
    <w:rsid w:val="00497024"/>
    <w:rsid w:val="004972CE"/>
    <w:rsid w:val="004977CD"/>
    <w:rsid w:val="0049780F"/>
    <w:rsid w:val="00497C23"/>
    <w:rsid w:val="004A0443"/>
    <w:rsid w:val="004A0648"/>
    <w:rsid w:val="004A091C"/>
    <w:rsid w:val="004A0AE1"/>
    <w:rsid w:val="004A0C10"/>
    <w:rsid w:val="004A11FE"/>
    <w:rsid w:val="004A13BB"/>
    <w:rsid w:val="004A1404"/>
    <w:rsid w:val="004A1E82"/>
    <w:rsid w:val="004A20F5"/>
    <w:rsid w:val="004A2331"/>
    <w:rsid w:val="004A2B2C"/>
    <w:rsid w:val="004A2D3C"/>
    <w:rsid w:val="004A30A0"/>
    <w:rsid w:val="004A30A4"/>
    <w:rsid w:val="004A3D72"/>
    <w:rsid w:val="004A5CD0"/>
    <w:rsid w:val="004A5DF3"/>
    <w:rsid w:val="004A5EF2"/>
    <w:rsid w:val="004A6255"/>
    <w:rsid w:val="004A6840"/>
    <w:rsid w:val="004A6D66"/>
    <w:rsid w:val="004A7086"/>
    <w:rsid w:val="004B01BD"/>
    <w:rsid w:val="004B0315"/>
    <w:rsid w:val="004B0FD1"/>
    <w:rsid w:val="004B14F6"/>
    <w:rsid w:val="004B181C"/>
    <w:rsid w:val="004B2744"/>
    <w:rsid w:val="004B2979"/>
    <w:rsid w:val="004B2E50"/>
    <w:rsid w:val="004B2EBE"/>
    <w:rsid w:val="004B337A"/>
    <w:rsid w:val="004B38C0"/>
    <w:rsid w:val="004B3EB9"/>
    <w:rsid w:val="004B4009"/>
    <w:rsid w:val="004B4683"/>
    <w:rsid w:val="004B4F14"/>
    <w:rsid w:val="004B4F8E"/>
    <w:rsid w:val="004B5488"/>
    <w:rsid w:val="004B5578"/>
    <w:rsid w:val="004B648C"/>
    <w:rsid w:val="004B6DA1"/>
    <w:rsid w:val="004B6EC2"/>
    <w:rsid w:val="004B73F7"/>
    <w:rsid w:val="004B79FE"/>
    <w:rsid w:val="004C15CF"/>
    <w:rsid w:val="004C164D"/>
    <w:rsid w:val="004C1D4B"/>
    <w:rsid w:val="004C1D5F"/>
    <w:rsid w:val="004C2390"/>
    <w:rsid w:val="004C258B"/>
    <w:rsid w:val="004C27A3"/>
    <w:rsid w:val="004C2D42"/>
    <w:rsid w:val="004C2FFE"/>
    <w:rsid w:val="004C3139"/>
    <w:rsid w:val="004C3A58"/>
    <w:rsid w:val="004C3B3F"/>
    <w:rsid w:val="004C406B"/>
    <w:rsid w:val="004C455E"/>
    <w:rsid w:val="004C4659"/>
    <w:rsid w:val="004C4E07"/>
    <w:rsid w:val="004C528C"/>
    <w:rsid w:val="004C5315"/>
    <w:rsid w:val="004C55D8"/>
    <w:rsid w:val="004C5F1D"/>
    <w:rsid w:val="004C68BB"/>
    <w:rsid w:val="004C720D"/>
    <w:rsid w:val="004C79C8"/>
    <w:rsid w:val="004C7FC6"/>
    <w:rsid w:val="004D020D"/>
    <w:rsid w:val="004D1230"/>
    <w:rsid w:val="004D133C"/>
    <w:rsid w:val="004D15BC"/>
    <w:rsid w:val="004D1687"/>
    <w:rsid w:val="004D17D5"/>
    <w:rsid w:val="004D18B0"/>
    <w:rsid w:val="004D20D4"/>
    <w:rsid w:val="004D2518"/>
    <w:rsid w:val="004D2AE8"/>
    <w:rsid w:val="004D2B46"/>
    <w:rsid w:val="004D2DC9"/>
    <w:rsid w:val="004D3C35"/>
    <w:rsid w:val="004D3C97"/>
    <w:rsid w:val="004D40A0"/>
    <w:rsid w:val="004D4217"/>
    <w:rsid w:val="004D436E"/>
    <w:rsid w:val="004D43C1"/>
    <w:rsid w:val="004D4465"/>
    <w:rsid w:val="004D4646"/>
    <w:rsid w:val="004D4BCF"/>
    <w:rsid w:val="004D4C67"/>
    <w:rsid w:val="004D4D63"/>
    <w:rsid w:val="004D4E8A"/>
    <w:rsid w:val="004D50D1"/>
    <w:rsid w:val="004D571B"/>
    <w:rsid w:val="004D6750"/>
    <w:rsid w:val="004D6E11"/>
    <w:rsid w:val="004D7581"/>
    <w:rsid w:val="004D797B"/>
    <w:rsid w:val="004D7A6E"/>
    <w:rsid w:val="004D7FA3"/>
    <w:rsid w:val="004E0435"/>
    <w:rsid w:val="004E078B"/>
    <w:rsid w:val="004E0CAE"/>
    <w:rsid w:val="004E11E2"/>
    <w:rsid w:val="004E138B"/>
    <w:rsid w:val="004E15C5"/>
    <w:rsid w:val="004E1634"/>
    <w:rsid w:val="004E1A56"/>
    <w:rsid w:val="004E1DBC"/>
    <w:rsid w:val="004E21E6"/>
    <w:rsid w:val="004E28D8"/>
    <w:rsid w:val="004E2FFC"/>
    <w:rsid w:val="004E319A"/>
    <w:rsid w:val="004E329C"/>
    <w:rsid w:val="004E392F"/>
    <w:rsid w:val="004E3E5A"/>
    <w:rsid w:val="004E3F99"/>
    <w:rsid w:val="004E414E"/>
    <w:rsid w:val="004E586F"/>
    <w:rsid w:val="004E5DF4"/>
    <w:rsid w:val="004E62B2"/>
    <w:rsid w:val="004E6DC5"/>
    <w:rsid w:val="004F184B"/>
    <w:rsid w:val="004F1B36"/>
    <w:rsid w:val="004F223A"/>
    <w:rsid w:val="004F2F6E"/>
    <w:rsid w:val="004F2FCB"/>
    <w:rsid w:val="004F34DE"/>
    <w:rsid w:val="004F3BC2"/>
    <w:rsid w:val="004F4438"/>
    <w:rsid w:val="004F4870"/>
    <w:rsid w:val="004F4C03"/>
    <w:rsid w:val="004F5D99"/>
    <w:rsid w:val="004F6197"/>
    <w:rsid w:val="004F6394"/>
    <w:rsid w:val="004F6719"/>
    <w:rsid w:val="004F6A05"/>
    <w:rsid w:val="004F6E72"/>
    <w:rsid w:val="004F73B0"/>
    <w:rsid w:val="004F7518"/>
    <w:rsid w:val="004F7578"/>
    <w:rsid w:val="004F792B"/>
    <w:rsid w:val="005007A8"/>
    <w:rsid w:val="005007F5"/>
    <w:rsid w:val="00500F0A"/>
    <w:rsid w:val="00501010"/>
    <w:rsid w:val="0050145D"/>
    <w:rsid w:val="0050185A"/>
    <w:rsid w:val="00501F4C"/>
    <w:rsid w:val="00502077"/>
    <w:rsid w:val="00502152"/>
    <w:rsid w:val="00502312"/>
    <w:rsid w:val="005023AA"/>
    <w:rsid w:val="00503313"/>
    <w:rsid w:val="00503746"/>
    <w:rsid w:val="00503C04"/>
    <w:rsid w:val="00504A28"/>
    <w:rsid w:val="00504B83"/>
    <w:rsid w:val="00504F98"/>
    <w:rsid w:val="00504FE2"/>
    <w:rsid w:val="005052B7"/>
    <w:rsid w:val="00505EEB"/>
    <w:rsid w:val="0050676E"/>
    <w:rsid w:val="00506808"/>
    <w:rsid w:val="005069A9"/>
    <w:rsid w:val="0050761E"/>
    <w:rsid w:val="00507695"/>
    <w:rsid w:val="00507EB4"/>
    <w:rsid w:val="005103F1"/>
    <w:rsid w:val="00510447"/>
    <w:rsid w:val="005105DF"/>
    <w:rsid w:val="0051084D"/>
    <w:rsid w:val="0051175A"/>
    <w:rsid w:val="00511D4D"/>
    <w:rsid w:val="0051200B"/>
    <w:rsid w:val="00512099"/>
    <w:rsid w:val="00512794"/>
    <w:rsid w:val="005127B5"/>
    <w:rsid w:val="00512B11"/>
    <w:rsid w:val="0051314C"/>
    <w:rsid w:val="0051360C"/>
    <w:rsid w:val="00513698"/>
    <w:rsid w:val="00513C2D"/>
    <w:rsid w:val="00513D2A"/>
    <w:rsid w:val="00513D70"/>
    <w:rsid w:val="00514846"/>
    <w:rsid w:val="0051562D"/>
    <w:rsid w:val="00515AA7"/>
    <w:rsid w:val="00516199"/>
    <w:rsid w:val="005161A3"/>
    <w:rsid w:val="005169D9"/>
    <w:rsid w:val="00517283"/>
    <w:rsid w:val="005175E7"/>
    <w:rsid w:val="005207F7"/>
    <w:rsid w:val="00520E6E"/>
    <w:rsid w:val="0052149F"/>
    <w:rsid w:val="00521934"/>
    <w:rsid w:val="00521AD2"/>
    <w:rsid w:val="005226E7"/>
    <w:rsid w:val="00522DE7"/>
    <w:rsid w:val="0052316B"/>
    <w:rsid w:val="00524061"/>
    <w:rsid w:val="0052477C"/>
    <w:rsid w:val="0052523B"/>
    <w:rsid w:val="0052523C"/>
    <w:rsid w:val="00525F9F"/>
    <w:rsid w:val="00527640"/>
    <w:rsid w:val="00530A35"/>
    <w:rsid w:val="00530EF5"/>
    <w:rsid w:val="00532351"/>
    <w:rsid w:val="005328B8"/>
    <w:rsid w:val="00532EDB"/>
    <w:rsid w:val="00534254"/>
    <w:rsid w:val="005344C7"/>
    <w:rsid w:val="005344F5"/>
    <w:rsid w:val="005345DF"/>
    <w:rsid w:val="00535731"/>
    <w:rsid w:val="00535941"/>
    <w:rsid w:val="00535A76"/>
    <w:rsid w:val="00535EC7"/>
    <w:rsid w:val="00535F32"/>
    <w:rsid w:val="005361BB"/>
    <w:rsid w:val="00537565"/>
    <w:rsid w:val="00540476"/>
    <w:rsid w:val="0054085F"/>
    <w:rsid w:val="0054091D"/>
    <w:rsid w:val="005409CA"/>
    <w:rsid w:val="00540F9A"/>
    <w:rsid w:val="005414B3"/>
    <w:rsid w:val="00541768"/>
    <w:rsid w:val="00541ACE"/>
    <w:rsid w:val="00541DFE"/>
    <w:rsid w:val="00541E41"/>
    <w:rsid w:val="005427C5"/>
    <w:rsid w:val="00543075"/>
    <w:rsid w:val="005439FB"/>
    <w:rsid w:val="005441A7"/>
    <w:rsid w:val="005443CA"/>
    <w:rsid w:val="0054442C"/>
    <w:rsid w:val="005452C0"/>
    <w:rsid w:val="005452E4"/>
    <w:rsid w:val="00545B79"/>
    <w:rsid w:val="00545C83"/>
    <w:rsid w:val="00546221"/>
    <w:rsid w:val="005464F5"/>
    <w:rsid w:val="00550EA0"/>
    <w:rsid w:val="00551AF8"/>
    <w:rsid w:val="00552050"/>
    <w:rsid w:val="00552062"/>
    <w:rsid w:val="0055318F"/>
    <w:rsid w:val="005537A7"/>
    <w:rsid w:val="005538C7"/>
    <w:rsid w:val="00553968"/>
    <w:rsid w:val="00553CDD"/>
    <w:rsid w:val="0055477C"/>
    <w:rsid w:val="00554840"/>
    <w:rsid w:val="00554DEF"/>
    <w:rsid w:val="00554E88"/>
    <w:rsid w:val="00555F5D"/>
    <w:rsid w:val="0055708C"/>
    <w:rsid w:val="00557B81"/>
    <w:rsid w:val="00557F00"/>
    <w:rsid w:val="00557FBA"/>
    <w:rsid w:val="00560551"/>
    <w:rsid w:val="00560981"/>
    <w:rsid w:val="00560F2A"/>
    <w:rsid w:val="00560F54"/>
    <w:rsid w:val="00561452"/>
    <w:rsid w:val="005617E8"/>
    <w:rsid w:val="00561966"/>
    <w:rsid w:val="00562114"/>
    <w:rsid w:val="0056226E"/>
    <w:rsid w:val="00562EA3"/>
    <w:rsid w:val="0056343D"/>
    <w:rsid w:val="0056494B"/>
    <w:rsid w:val="00564AB5"/>
    <w:rsid w:val="00564ACD"/>
    <w:rsid w:val="00564FD0"/>
    <w:rsid w:val="005653B0"/>
    <w:rsid w:val="005653BE"/>
    <w:rsid w:val="005659BC"/>
    <w:rsid w:val="00565CDD"/>
    <w:rsid w:val="0056626F"/>
    <w:rsid w:val="005663B9"/>
    <w:rsid w:val="0056696F"/>
    <w:rsid w:val="00566AAF"/>
    <w:rsid w:val="00567B45"/>
    <w:rsid w:val="00570B63"/>
    <w:rsid w:val="005719AC"/>
    <w:rsid w:val="00571CFB"/>
    <w:rsid w:val="00571FE2"/>
    <w:rsid w:val="00572244"/>
    <w:rsid w:val="00572546"/>
    <w:rsid w:val="00572C29"/>
    <w:rsid w:val="00572CF5"/>
    <w:rsid w:val="00572D96"/>
    <w:rsid w:val="00573314"/>
    <w:rsid w:val="0057436B"/>
    <w:rsid w:val="00574690"/>
    <w:rsid w:val="00574A26"/>
    <w:rsid w:val="00574CDD"/>
    <w:rsid w:val="005751C5"/>
    <w:rsid w:val="00575E86"/>
    <w:rsid w:val="00575FA2"/>
    <w:rsid w:val="0057680A"/>
    <w:rsid w:val="00581170"/>
    <w:rsid w:val="00581219"/>
    <w:rsid w:val="0058144B"/>
    <w:rsid w:val="00581559"/>
    <w:rsid w:val="00581B46"/>
    <w:rsid w:val="00582A11"/>
    <w:rsid w:val="00582A9A"/>
    <w:rsid w:val="00582CBD"/>
    <w:rsid w:val="0058313E"/>
    <w:rsid w:val="005834CB"/>
    <w:rsid w:val="0058364E"/>
    <w:rsid w:val="00583D98"/>
    <w:rsid w:val="00584204"/>
    <w:rsid w:val="00584561"/>
    <w:rsid w:val="00584A7B"/>
    <w:rsid w:val="00585187"/>
    <w:rsid w:val="005855DF"/>
    <w:rsid w:val="00585675"/>
    <w:rsid w:val="005857DD"/>
    <w:rsid w:val="0058673B"/>
    <w:rsid w:val="00586782"/>
    <w:rsid w:val="00586F26"/>
    <w:rsid w:val="0058729A"/>
    <w:rsid w:val="0058768A"/>
    <w:rsid w:val="00587889"/>
    <w:rsid w:val="0058789C"/>
    <w:rsid w:val="00587C40"/>
    <w:rsid w:val="00590B01"/>
    <w:rsid w:val="00591113"/>
    <w:rsid w:val="0059166A"/>
    <w:rsid w:val="00591789"/>
    <w:rsid w:val="00591999"/>
    <w:rsid w:val="00591CE6"/>
    <w:rsid w:val="00591E98"/>
    <w:rsid w:val="005938AF"/>
    <w:rsid w:val="00593AB6"/>
    <w:rsid w:val="0059487C"/>
    <w:rsid w:val="00594B41"/>
    <w:rsid w:val="00594FF3"/>
    <w:rsid w:val="005951C9"/>
    <w:rsid w:val="00595E15"/>
    <w:rsid w:val="00596616"/>
    <w:rsid w:val="00596720"/>
    <w:rsid w:val="00597528"/>
    <w:rsid w:val="0059755C"/>
    <w:rsid w:val="005A025A"/>
    <w:rsid w:val="005A09D0"/>
    <w:rsid w:val="005A0BF3"/>
    <w:rsid w:val="005A1159"/>
    <w:rsid w:val="005A1FA0"/>
    <w:rsid w:val="005A2037"/>
    <w:rsid w:val="005A216B"/>
    <w:rsid w:val="005A2D04"/>
    <w:rsid w:val="005A3067"/>
    <w:rsid w:val="005A3352"/>
    <w:rsid w:val="005A364E"/>
    <w:rsid w:val="005A36F2"/>
    <w:rsid w:val="005A3D94"/>
    <w:rsid w:val="005A47DB"/>
    <w:rsid w:val="005A4835"/>
    <w:rsid w:val="005A5672"/>
    <w:rsid w:val="005A5CC9"/>
    <w:rsid w:val="005A5F88"/>
    <w:rsid w:val="005A5FC5"/>
    <w:rsid w:val="005A601D"/>
    <w:rsid w:val="005A694A"/>
    <w:rsid w:val="005A7160"/>
    <w:rsid w:val="005A738C"/>
    <w:rsid w:val="005A7655"/>
    <w:rsid w:val="005A7A50"/>
    <w:rsid w:val="005A7BCC"/>
    <w:rsid w:val="005B088E"/>
    <w:rsid w:val="005B1CAD"/>
    <w:rsid w:val="005B22B2"/>
    <w:rsid w:val="005B2371"/>
    <w:rsid w:val="005B23CB"/>
    <w:rsid w:val="005B281F"/>
    <w:rsid w:val="005B43F4"/>
    <w:rsid w:val="005B45DA"/>
    <w:rsid w:val="005B5584"/>
    <w:rsid w:val="005B5669"/>
    <w:rsid w:val="005B6510"/>
    <w:rsid w:val="005B6841"/>
    <w:rsid w:val="005B6B11"/>
    <w:rsid w:val="005B7350"/>
    <w:rsid w:val="005B77B3"/>
    <w:rsid w:val="005C0163"/>
    <w:rsid w:val="005C062D"/>
    <w:rsid w:val="005C0859"/>
    <w:rsid w:val="005C0EE4"/>
    <w:rsid w:val="005C185D"/>
    <w:rsid w:val="005C1ADA"/>
    <w:rsid w:val="005C2CA1"/>
    <w:rsid w:val="005C2E37"/>
    <w:rsid w:val="005C32FF"/>
    <w:rsid w:val="005C3334"/>
    <w:rsid w:val="005C35AC"/>
    <w:rsid w:val="005C3702"/>
    <w:rsid w:val="005C3CF7"/>
    <w:rsid w:val="005C4FE0"/>
    <w:rsid w:val="005C5364"/>
    <w:rsid w:val="005C5DB1"/>
    <w:rsid w:val="005C63D2"/>
    <w:rsid w:val="005C65D4"/>
    <w:rsid w:val="005C6662"/>
    <w:rsid w:val="005C67B0"/>
    <w:rsid w:val="005C6CC3"/>
    <w:rsid w:val="005C7284"/>
    <w:rsid w:val="005C7B0A"/>
    <w:rsid w:val="005C7C30"/>
    <w:rsid w:val="005C7C99"/>
    <w:rsid w:val="005D18BC"/>
    <w:rsid w:val="005D1B70"/>
    <w:rsid w:val="005D1E32"/>
    <w:rsid w:val="005D30D0"/>
    <w:rsid w:val="005D3265"/>
    <w:rsid w:val="005D32FC"/>
    <w:rsid w:val="005D341B"/>
    <w:rsid w:val="005D3953"/>
    <w:rsid w:val="005D39EE"/>
    <w:rsid w:val="005D3EFC"/>
    <w:rsid w:val="005D52AF"/>
    <w:rsid w:val="005D57FE"/>
    <w:rsid w:val="005D5CC9"/>
    <w:rsid w:val="005D5F40"/>
    <w:rsid w:val="005D731A"/>
    <w:rsid w:val="005D7A5C"/>
    <w:rsid w:val="005D7F14"/>
    <w:rsid w:val="005E063E"/>
    <w:rsid w:val="005E1EEE"/>
    <w:rsid w:val="005E26A0"/>
    <w:rsid w:val="005E309B"/>
    <w:rsid w:val="005E37A5"/>
    <w:rsid w:val="005E43BE"/>
    <w:rsid w:val="005E4D60"/>
    <w:rsid w:val="005E56F6"/>
    <w:rsid w:val="005E5B09"/>
    <w:rsid w:val="005E618C"/>
    <w:rsid w:val="005E6435"/>
    <w:rsid w:val="005E66E9"/>
    <w:rsid w:val="005E6E10"/>
    <w:rsid w:val="005E7C68"/>
    <w:rsid w:val="005F058C"/>
    <w:rsid w:val="005F0874"/>
    <w:rsid w:val="005F140C"/>
    <w:rsid w:val="005F1479"/>
    <w:rsid w:val="005F166C"/>
    <w:rsid w:val="005F1E3D"/>
    <w:rsid w:val="005F2375"/>
    <w:rsid w:val="005F23EB"/>
    <w:rsid w:val="005F2822"/>
    <w:rsid w:val="005F3746"/>
    <w:rsid w:val="005F4B3A"/>
    <w:rsid w:val="005F535D"/>
    <w:rsid w:val="005F54C0"/>
    <w:rsid w:val="005F54D9"/>
    <w:rsid w:val="005F5581"/>
    <w:rsid w:val="005F5997"/>
    <w:rsid w:val="005F5E27"/>
    <w:rsid w:val="005F631D"/>
    <w:rsid w:val="005F707D"/>
    <w:rsid w:val="005F7C2D"/>
    <w:rsid w:val="006000B3"/>
    <w:rsid w:val="00600908"/>
    <w:rsid w:val="00602382"/>
    <w:rsid w:val="006023CD"/>
    <w:rsid w:val="006026B2"/>
    <w:rsid w:val="00602705"/>
    <w:rsid w:val="00602769"/>
    <w:rsid w:val="00602786"/>
    <w:rsid w:val="00602E1B"/>
    <w:rsid w:val="00602FE6"/>
    <w:rsid w:val="006031D0"/>
    <w:rsid w:val="00603560"/>
    <w:rsid w:val="00603953"/>
    <w:rsid w:val="00604DAF"/>
    <w:rsid w:val="00605547"/>
    <w:rsid w:val="00605BF5"/>
    <w:rsid w:val="00606270"/>
    <w:rsid w:val="00606546"/>
    <w:rsid w:val="006075C5"/>
    <w:rsid w:val="00607E6F"/>
    <w:rsid w:val="0061014B"/>
    <w:rsid w:val="006103B8"/>
    <w:rsid w:val="00610828"/>
    <w:rsid w:val="00610CF2"/>
    <w:rsid w:val="0061170A"/>
    <w:rsid w:val="0061197F"/>
    <w:rsid w:val="00612637"/>
    <w:rsid w:val="0061298F"/>
    <w:rsid w:val="00612F6C"/>
    <w:rsid w:val="00612FDA"/>
    <w:rsid w:val="006132F7"/>
    <w:rsid w:val="00613522"/>
    <w:rsid w:val="006137A2"/>
    <w:rsid w:val="00613A65"/>
    <w:rsid w:val="00613EE9"/>
    <w:rsid w:val="00614D14"/>
    <w:rsid w:val="006151AE"/>
    <w:rsid w:val="0061542A"/>
    <w:rsid w:val="0061591C"/>
    <w:rsid w:val="00615FD0"/>
    <w:rsid w:val="006165D5"/>
    <w:rsid w:val="006168D7"/>
    <w:rsid w:val="00616B3E"/>
    <w:rsid w:val="006171FA"/>
    <w:rsid w:val="006177F2"/>
    <w:rsid w:val="006178CE"/>
    <w:rsid w:val="00617ADE"/>
    <w:rsid w:val="00617B05"/>
    <w:rsid w:val="00617B7A"/>
    <w:rsid w:val="00620CD9"/>
    <w:rsid w:val="006216E5"/>
    <w:rsid w:val="006218F6"/>
    <w:rsid w:val="00621993"/>
    <w:rsid w:val="00621B7F"/>
    <w:rsid w:val="006226B0"/>
    <w:rsid w:val="00622757"/>
    <w:rsid w:val="0062277A"/>
    <w:rsid w:val="006237FE"/>
    <w:rsid w:val="00623BFF"/>
    <w:rsid w:val="00624056"/>
    <w:rsid w:val="006241E0"/>
    <w:rsid w:val="006245FF"/>
    <w:rsid w:val="00624ACC"/>
    <w:rsid w:val="00625223"/>
    <w:rsid w:val="00625D77"/>
    <w:rsid w:val="006266A4"/>
    <w:rsid w:val="0062695C"/>
    <w:rsid w:val="00626BFC"/>
    <w:rsid w:val="0062723F"/>
    <w:rsid w:val="006273A6"/>
    <w:rsid w:val="00627F29"/>
    <w:rsid w:val="0063092E"/>
    <w:rsid w:val="00631D3D"/>
    <w:rsid w:val="0063269D"/>
    <w:rsid w:val="00633170"/>
    <w:rsid w:val="006331B4"/>
    <w:rsid w:val="00633E73"/>
    <w:rsid w:val="00634345"/>
    <w:rsid w:val="006344BC"/>
    <w:rsid w:val="00634696"/>
    <w:rsid w:val="006346AA"/>
    <w:rsid w:val="006354E0"/>
    <w:rsid w:val="00635557"/>
    <w:rsid w:val="006357DB"/>
    <w:rsid w:val="00635823"/>
    <w:rsid w:val="00635BE9"/>
    <w:rsid w:val="00636D7F"/>
    <w:rsid w:val="00637072"/>
    <w:rsid w:val="0063711C"/>
    <w:rsid w:val="00637477"/>
    <w:rsid w:val="00637870"/>
    <w:rsid w:val="00640450"/>
    <w:rsid w:val="00640BF2"/>
    <w:rsid w:val="00640CF6"/>
    <w:rsid w:val="00641C4F"/>
    <w:rsid w:val="00642400"/>
    <w:rsid w:val="006427D5"/>
    <w:rsid w:val="006428EB"/>
    <w:rsid w:val="0064299A"/>
    <w:rsid w:val="00642FC3"/>
    <w:rsid w:val="006444D9"/>
    <w:rsid w:val="00644C77"/>
    <w:rsid w:val="00645BC5"/>
    <w:rsid w:val="00646117"/>
    <w:rsid w:val="0064668F"/>
    <w:rsid w:val="00646BC7"/>
    <w:rsid w:val="00646CD3"/>
    <w:rsid w:val="00646D6E"/>
    <w:rsid w:val="00646E2A"/>
    <w:rsid w:val="00646EF0"/>
    <w:rsid w:val="0064743B"/>
    <w:rsid w:val="00647B0E"/>
    <w:rsid w:val="00647E41"/>
    <w:rsid w:val="00647F5A"/>
    <w:rsid w:val="006505A3"/>
    <w:rsid w:val="00650A9D"/>
    <w:rsid w:val="00650CCD"/>
    <w:rsid w:val="00650D7E"/>
    <w:rsid w:val="0065182E"/>
    <w:rsid w:val="0065198D"/>
    <w:rsid w:val="006519C7"/>
    <w:rsid w:val="00651D00"/>
    <w:rsid w:val="00652889"/>
    <w:rsid w:val="00652A9B"/>
    <w:rsid w:val="006531EE"/>
    <w:rsid w:val="0065334D"/>
    <w:rsid w:val="006552D6"/>
    <w:rsid w:val="00655B4E"/>
    <w:rsid w:val="006561E0"/>
    <w:rsid w:val="00656219"/>
    <w:rsid w:val="00656B48"/>
    <w:rsid w:val="0065751D"/>
    <w:rsid w:val="00657C23"/>
    <w:rsid w:val="00657F02"/>
    <w:rsid w:val="00660834"/>
    <w:rsid w:val="006609D3"/>
    <w:rsid w:val="00661924"/>
    <w:rsid w:val="00663AA2"/>
    <w:rsid w:val="00663D65"/>
    <w:rsid w:val="00664FC1"/>
    <w:rsid w:val="006654E4"/>
    <w:rsid w:val="00665AB9"/>
    <w:rsid w:val="00665BBC"/>
    <w:rsid w:val="00665EE4"/>
    <w:rsid w:val="00666261"/>
    <w:rsid w:val="00666316"/>
    <w:rsid w:val="00666BB5"/>
    <w:rsid w:val="0066713A"/>
    <w:rsid w:val="00667565"/>
    <w:rsid w:val="00667E3C"/>
    <w:rsid w:val="00670149"/>
    <w:rsid w:val="006709DB"/>
    <w:rsid w:val="00670B2D"/>
    <w:rsid w:val="00673C94"/>
    <w:rsid w:val="006740D6"/>
    <w:rsid w:val="006743A3"/>
    <w:rsid w:val="00674653"/>
    <w:rsid w:val="0067525B"/>
    <w:rsid w:val="0067563C"/>
    <w:rsid w:val="0067594E"/>
    <w:rsid w:val="00675C64"/>
    <w:rsid w:val="0067695B"/>
    <w:rsid w:val="00676D6E"/>
    <w:rsid w:val="006770C0"/>
    <w:rsid w:val="00677C6A"/>
    <w:rsid w:val="00677D57"/>
    <w:rsid w:val="00677F10"/>
    <w:rsid w:val="00680635"/>
    <w:rsid w:val="00680E97"/>
    <w:rsid w:val="00681422"/>
    <w:rsid w:val="00684390"/>
    <w:rsid w:val="006846C4"/>
    <w:rsid w:val="00685DBF"/>
    <w:rsid w:val="0068650D"/>
    <w:rsid w:val="00686D8E"/>
    <w:rsid w:val="00687984"/>
    <w:rsid w:val="00690014"/>
    <w:rsid w:val="006902EE"/>
    <w:rsid w:val="00690777"/>
    <w:rsid w:val="00690F2D"/>
    <w:rsid w:val="00690FEC"/>
    <w:rsid w:val="0069129D"/>
    <w:rsid w:val="00691529"/>
    <w:rsid w:val="00691D6A"/>
    <w:rsid w:val="00691DE5"/>
    <w:rsid w:val="00692EBE"/>
    <w:rsid w:val="006935BA"/>
    <w:rsid w:val="006940EA"/>
    <w:rsid w:val="00694751"/>
    <w:rsid w:val="00694DF7"/>
    <w:rsid w:val="006951AB"/>
    <w:rsid w:val="006954DF"/>
    <w:rsid w:val="006954FF"/>
    <w:rsid w:val="0069594A"/>
    <w:rsid w:val="00695B7B"/>
    <w:rsid w:val="006965FC"/>
    <w:rsid w:val="0069690C"/>
    <w:rsid w:val="00696964"/>
    <w:rsid w:val="00696E7C"/>
    <w:rsid w:val="0069768F"/>
    <w:rsid w:val="006A0513"/>
    <w:rsid w:val="006A13B6"/>
    <w:rsid w:val="006A160A"/>
    <w:rsid w:val="006A1881"/>
    <w:rsid w:val="006A1E3C"/>
    <w:rsid w:val="006A24FF"/>
    <w:rsid w:val="006A2B9D"/>
    <w:rsid w:val="006A2F56"/>
    <w:rsid w:val="006A3322"/>
    <w:rsid w:val="006A3C96"/>
    <w:rsid w:val="006A421A"/>
    <w:rsid w:val="006A42F3"/>
    <w:rsid w:val="006A446E"/>
    <w:rsid w:val="006A4B24"/>
    <w:rsid w:val="006A597E"/>
    <w:rsid w:val="006A64C4"/>
    <w:rsid w:val="006A7018"/>
    <w:rsid w:val="006A73ED"/>
    <w:rsid w:val="006A7CEC"/>
    <w:rsid w:val="006B0A94"/>
    <w:rsid w:val="006B2F99"/>
    <w:rsid w:val="006B3FB0"/>
    <w:rsid w:val="006B46BA"/>
    <w:rsid w:val="006B4892"/>
    <w:rsid w:val="006B4939"/>
    <w:rsid w:val="006B4B19"/>
    <w:rsid w:val="006B6ACF"/>
    <w:rsid w:val="006B719C"/>
    <w:rsid w:val="006B7A37"/>
    <w:rsid w:val="006C0469"/>
    <w:rsid w:val="006C10BF"/>
    <w:rsid w:val="006C18F2"/>
    <w:rsid w:val="006C1FF1"/>
    <w:rsid w:val="006C228E"/>
    <w:rsid w:val="006C4105"/>
    <w:rsid w:val="006C4158"/>
    <w:rsid w:val="006C4699"/>
    <w:rsid w:val="006C4837"/>
    <w:rsid w:val="006C4999"/>
    <w:rsid w:val="006C4D14"/>
    <w:rsid w:val="006C5DE5"/>
    <w:rsid w:val="006C6818"/>
    <w:rsid w:val="006C681D"/>
    <w:rsid w:val="006C6D9D"/>
    <w:rsid w:val="006C6F1C"/>
    <w:rsid w:val="006C7342"/>
    <w:rsid w:val="006C7406"/>
    <w:rsid w:val="006C7CAD"/>
    <w:rsid w:val="006D01ED"/>
    <w:rsid w:val="006D05EE"/>
    <w:rsid w:val="006D13C2"/>
    <w:rsid w:val="006D2970"/>
    <w:rsid w:val="006D2CBF"/>
    <w:rsid w:val="006D3249"/>
    <w:rsid w:val="006D33C1"/>
    <w:rsid w:val="006D445C"/>
    <w:rsid w:val="006D466F"/>
    <w:rsid w:val="006D4742"/>
    <w:rsid w:val="006D4B4A"/>
    <w:rsid w:val="006D6D1E"/>
    <w:rsid w:val="006D7F24"/>
    <w:rsid w:val="006E04CC"/>
    <w:rsid w:val="006E06A0"/>
    <w:rsid w:val="006E0C0C"/>
    <w:rsid w:val="006E0EBA"/>
    <w:rsid w:val="006E12A7"/>
    <w:rsid w:val="006E1F05"/>
    <w:rsid w:val="006E2A9D"/>
    <w:rsid w:val="006E34C5"/>
    <w:rsid w:val="006E3C04"/>
    <w:rsid w:val="006E4318"/>
    <w:rsid w:val="006E46C2"/>
    <w:rsid w:val="006E49C0"/>
    <w:rsid w:val="006E4A90"/>
    <w:rsid w:val="006E4BC8"/>
    <w:rsid w:val="006E507D"/>
    <w:rsid w:val="006E56CC"/>
    <w:rsid w:val="006E56DF"/>
    <w:rsid w:val="006E5ABE"/>
    <w:rsid w:val="006E6519"/>
    <w:rsid w:val="006E6D78"/>
    <w:rsid w:val="006E6F7A"/>
    <w:rsid w:val="006E79D1"/>
    <w:rsid w:val="006E7E61"/>
    <w:rsid w:val="006E7EA5"/>
    <w:rsid w:val="006F06D6"/>
    <w:rsid w:val="006F0D1F"/>
    <w:rsid w:val="006F1B55"/>
    <w:rsid w:val="006F2BD2"/>
    <w:rsid w:val="006F2D2F"/>
    <w:rsid w:val="006F325A"/>
    <w:rsid w:val="006F333A"/>
    <w:rsid w:val="006F4B09"/>
    <w:rsid w:val="006F4F8B"/>
    <w:rsid w:val="006F51C6"/>
    <w:rsid w:val="006F564D"/>
    <w:rsid w:val="006F5AF0"/>
    <w:rsid w:val="006F5F80"/>
    <w:rsid w:val="006F6202"/>
    <w:rsid w:val="006F68AC"/>
    <w:rsid w:val="006F772A"/>
    <w:rsid w:val="0070014A"/>
    <w:rsid w:val="007006DF"/>
    <w:rsid w:val="00700709"/>
    <w:rsid w:val="00702A39"/>
    <w:rsid w:val="00702B63"/>
    <w:rsid w:val="0070332F"/>
    <w:rsid w:val="007033DC"/>
    <w:rsid w:val="007033FE"/>
    <w:rsid w:val="00703625"/>
    <w:rsid w:val="007038B6"/>
    <w:rsid w:val="00703FA9"/>
    <w:rsid w:val="00703FB9"/>
    <w:rsid w:val="00704997"/>
    <w:rsid w:val="00705AA6"/>
    <w:rsid w:val="00706308"/>
    <w:rsid w:val="007063F8"/>
    <w:rsid w:val="00706556"/>
    <w:rsid w:val="007067A0"/>
    <w:rsid w:val="007068E4"/>
    <w:rsid w:val="00706975"/>
    <w:rsid w:val="007070B0"/>
    <w:rsid w:val="00707B65"/>
    <w:rsid w:val="00707B73"/>
    <w:rsid w:val="00707CEE"/>
    <w:rsid w:val="00707E19"/>
    <w:rsid w:val="00707F7F"/>
    <w:rsid w:val="0071014C"/>
    <w:rsid w:val="007104E9"/>
    <w:rsid w:val="007104EF"/>
    <w:rsid w:val="0071337C"/>
    <w:rsid w:val="00713E53"/>
    <w:rsid w:val="00713E86"/>
    <w:rsid w:val="00714016"/>
    <w:rsid w:val="0071435D"/>
    <w:rsid w:val="00714B51"/>
    <w:rsid w:val="00714F94"/>
    <w:rsid w:val="00715706"/>
    <w:rsid w:val="00715C55"/>
    <w:rsid w:val="00716BFB"/>
    <w:rsid w:val="00716EF9"/>
    <w:rsid w:val="007177EB"/>
    <w:rsid w:val="007178BA"/>
    <w:rsid w:val="00720FDF"/>
    <w:rsid w:val="00721071"/>
    <w:rsid w:val="00721AAE"/>
    <w:rsid w:val="00721FA6"/>
    <w:rsid w:val="00722730"/>
    <w:rsid w:val="007227EA"/>
    <w:rsid w:val="00722CB7"/>
    <w:rsid w:val="00723B13"/>
    <w:rsid w:val="00723D99"/>
    <w:rsid w:val="00724900"/>
    <w:rsid w:val="00725133"/>
    <w:rsid w:val="007253C0"/>
    <w:rsid w:val="00725E7D"/>
    <w:rsid w:val="00726181"/>
    <w:rsid w:val="00727CAB"/>
    <w:rsid w:val="0073035F"/>
    <w:rsid w:val="007304E8"/>
    <w:rsid w:val="00730FFB"/>
    <w:rsid w:val="007313E3"/>
    <w:rsid w:val="00731A57"/>
    <w:rsid w:val="00731AB3"/>
    <w:rsid w:val="0073289B"/>
    <w:rsid w:val="00732AE2"/>
    <w:rsid w:val="00732D3D"/>
    <w:rsid w:val="007342BE"/>
    <w:rsid w:val="00735011"/>
    <w:rsid w:val="00735AF3"/>
    <w:rsid w:val="00735E9F"/>
    <w:rsid w:val="00736A75"/>
    <w:rsid w:val="00737398"/>
    <w:rsid w:val="007375B2"/>
    <w:rsid w:val="0073793C"/>
    <w:rsid w:val="00737A13"/>
    <w:rsid w:val="00737A3D"/>
    <w:rsid w:val="00737BEE"/>
    <w:rsid w:val="0074017D"/>
    <w:rsid w:val="007404B4"/>
    <w:rsid w:val="00740FDD"/>
    <w:rsid w:val="0074121E"/>
    <w:rsid w:val="0074209D"/>
    <w:rsid w:val="007422C3"/>
    <w:rsid w:val="007423C2"/>
    <w:rsid w:val="00742652"/>
    <w:rsid w:val="00743017"/>
    <w:rsid w:val="00743189"/>
    <w:rsid w:val="0074353E"/>
    <w:rsid w:val="007437CC"/>
    <w:rsid w:val="00743999"/>
    <w:rsid w:val="00743F9E"/>
    <w:rsid w:val="00744001"/>
    <w:rsid w:val="0074522C"/>
    <w:rsid w:val="00746516"/>
    <w:rsid w:val="00746B8A"/>
    <w:rsid w:val="007478D5"/>
    <w:rsid w:val="00747B68"/>
    <w:rsid w:val="00747CFE"/>
    <w:rsid w:val="00750184"/>
    <w:rsid w:val="00750BD1"/>
    <w:rsid w:val="00752682"/>
    <w:rsid w:val="0075321C"/>
    <w:rsid w:val="00753A26"/>
    <w:rsid w:val="00753F2A"/>
    <w:rsid w:val="00754C30"/>
    <w:rsid w:val="00754E63"/>
    <w:rsid w:val="00755AD8"/>
    <w:rsid w:val="00756028"/>
    <w:rsid w:val="0075738C"/>
    <w:rsid w:val="007574CB"/>
    <w:rsid w:val="00757B6A"/>
    <w:rsid w:val="007605EE"/>
    <w:rsid w:val="00760945"/>
    <w:rsid w:val="007613C7"/>
    <w:rsid w:val="0076149D"/>
    <w:rsid w:val="0076170E"/>
    <w:rsid w:val="00762025"/>
    <w:rsid w:val="007628E6"/>
    <w:rsid w:val="007629D8"/>
    <w:rsid w:val="00762F57"/>
    <w:rsid w:val="00763891"/>
    <w:rsid w:val="007645CD"/>
    <w:rsid w:val="007647C6"/>
    <w:rsid w:val="00764985"/>
    <w:rsid w:val="00764CE9"/>
    <w:rsid w:val="0076504E"/>
    <w:rsid w:val="0076518A"/>
    <w:rsid w:val="00765358"/>
    <w:rsid w:val="007653F2"/>
    <w:rsid w:val="0076558D"/>
    <w:rsid w:val="00765DE6"/>
    <w:rsid w:val="007661BA"/>
    <w:rsid w:val="00767516"/>
    <w:rsid w:val="00767595"/>
    <w:rsid w:val="007679F9"/>
    <w:rsid w:val="00770F9B"/>
    <w:rsid w:val="00771526"/>
    <w:rsid w:val="00771805"/>
    <w:rsid w:val="00771C1A"/>
    <w:rsid w:val="00771E3E"/>
    <w:rsid w:val="007729E6"/>
    <w:rsid w:val="00773786"/>
    <w:rsid w:val="00773D97"/>
    <w:rsid w:val="00773E6F"/>
    <w:rsid w:val="00774AE2"/>
    <w:rsid w:val="00774CAC"/>
    <w:rsid w:val="00774DF0"/>
    <w:rsid w:val="00774FB7"/>
    <w:rsid w:val="00775324"/>
    <w:rsid w:val="0077539A"/>
    <w:rsid w:val="007755DE"/>
    <w:rsid w:val="00775874"/>
    <w:rsid w:val="00775D41"/>
    <w:rsid w:val="007764AF"/>
    <w:rsid w:val="00776B7E"/>
    <w:rsid w:val="00777B59"/>
    <w:rsid w:val="00777E40"/>
    <w:rsid w:val="00780378"/>
    <w:rsid w:val="00780621"/>
    <w:rsid w:val="007808CF"/>
    <w:rsid w:val="007827FC"/>
    <w:rsid w:val="0078318F"/>
    <w:rsid w:val="007832CC"/>
    <w:rsid w:val="00783EB7"/>
    <w:rsid w:val="00784346"/>
    <w:rsid w:val="007851DF"/>
    <w:rsid w:val="0078566E"/>
    <w:rsid w:val="00785BFA"/>
    <w:rsid w:val="007868C8"/>
    <w:rsid w:val="00786D1B"/>
    <w:rsid w:val="00786D90"/>
    <w:rsid w:val="007870B1"/>
    <w:rsid w:val="007872DD"/>
    <w:rsid w:val="00787F4D"/>
    <w:rsid w:val="00790661"/>
    <w:rsid w:val="00790FD0"/>
    <w:rsid w:val="0079157E"/>
    <w:rsid w:val="00792242"/>
    <w:rsid w:val="0079293A"/>
    <w:rsid w:val="00792B22"/>
    <w:rsid w:val="00793519"/>
    <w:rsid w:val="0079386E"/>
    <w:rsid w:val="00793E12"/>
    <w:rsid w:val="00794125"/>
    <w:rsid w:val="00794558"/>
    <w:rsid w:val="0079771E"/>
    <w:rsid w:val="00797791"/>
    <w:rsid w:val="00797C37"/>
    <w:rsid w:val="007A06C6"/>
    <w:rsid w:val="007A08A4"/>
    <w:rsid w:val="007A1059"/>
    <w:rsid w:val="007A1384"/>
    <w:rsid w:val="007A1834"/>
    <w:rsid w:val="007A1DA8"/>
    <w:rsid w:val="007A28A5"/>
    <w:rsid w:val="007A296A"/>
    <w:rsid w:val="007A2D2F"/>
    <w:rsid w:val="007A3629"/>
    <w:rsid w:val="007A3ABA"/>
    <w:rsid w:val="007A4750"/>
    <w:rsid w:val="007A4865"/>
    <w:rsid w:val="007A4915"/>
    <w:rsid w:val="007A4E3F"/>
    <w:rsid w:val="007A5886"/>
    <w:rsid w:val="007A659F"/>
    <w:rsid w:val="007A675D"/>
    <w:rsid w:val="007A6EB8"/>
    <w:rsid w:val="007A71D1"/>
    <w:rsid w:val="007A73D2"/>
    <w:rsid w:val="007B0312"/>
    <w:rsid w:val="007B16DA"/>
    <w:rsid w:val="007B1B15"/>
    <w:rsid w:val="007B2B9A"/>
    <w:rsid w:val="007B2CEF"/>
    <w:rsid w:val="007B323C"/>
    <w:rsid w:val="007B3318"/>
    <w:rsid w:val="007B33A2"/>
    <w:rsid w:val="007B33E4"/>
    <w:rsid w:val="007B4234"/>
    <w:rsid w:val="007B426E"/>
    <w:rsid w:val="007B489E"/>
    <w:rsid w:val="007B4C9A"/>
    <w:rsid w:val="007B561B"/>
    <w:rsid w:val="007B5D70"/>
    <w:rsid w:val="007B6324"/>
    <w:rsid w:val="007B64C1"/>
    <w:rsid w:val="007B6963"/>
    <w:rsid w:val="007B6DAC"/>
    <w:rsid w:val="007B7A46"/>
    <w:rsid w:val="007C0106"/>
    <w:rsid w:val="007C0F16"/>
    <w:rsid w:val="007C1EB7"/>
    <w:rsid w:val="007C2027"/>
    <w:rsid w:val="007C211F"/>
    <w:rsid w:val="007C22A6"/>
    <w:rsid w:val="007C2372"/>
    <w:rsid w:val="007C3538"/>
    <w:rsid w:val="007C375E"/>
    <w:rsid w:val="007C3856"/>
    <w:rsid w:val="007C3B93"/>
    <w:rsid w:val="007C3D8F"/>
    <w:rsid w:val="007C3F13"/>
    <w:rsid w:val="007C4773"/>
    <w:rsid w:val="007C57A9"/>
    <w:rsid w:val="007C63CC"/>
    <w:rsid w:val="007C6DE7"/>
    <w:rsid w:val="007C7772"/>
    <w:rsid w:val="007C7D3F"/>
    <w:rsid w:val="007D073A"/>
    <w:rsid w:val="007D0924"/>
    <w:rsid w:val="007D0D98"/>
    <w:rsid w:val="007D120C"/>
    <w:rsid w:val="007D1A34"/>
    <w:rsid w:val="007D279A"/>
    <w:rsid w:val="007D388E"/>
    <w:rsid w:val="007D459F"/>
    <w:rsid w:val="007D4A82"/>
    <w:rsid w:val="007D5048"/>
    <w:rsid w:val="007D5F9C"/>
    <w:rsid w:val="007D6039"/>
    <w:rsid w:val="007D608A"/>
    <w:rsid w:val="007D6A94"/>
    <w:rsid w:val="007D6F43"/>
    <w:rsid w:val="007D713A"/>
    <w:rsid w:val="007D72A9"/>
    <w:rsid w:val="007D7A49"/>
    <w:rsid w:val="007D7F74"/>
    <w:rsid w:val="007E0F88"/>
    <w:rsid w:val="007E1118"/>
    <w:rsid w:val="007E1AD9"/>
    <w:rsid w:val="007E1C79"/>
    <w:rsid w:val="007E1D98"/>
    <w:rsid w:val="007E2107"/>
    <w:rsid w:val="007E2E14"/>
    <w:rsid w:val="007E402B"/>
    <w:rsid w:val="007E47CF"/>
    <w:rsid w:val="007E5312"/>
    <w:rsid w:val="007E5701"/>
    <w:rsid w:val="007E6585"/>
    <w:rsid w:val="007E6B26"/>
    <w:rsid w:val="007E77FA"/>
    <w:rsid w:val="007E7AC1"/>
    <w:rsid w:val="007F01E4"/>
    <w:rsid w:val="007F0D11"/>
    <w:rsid w:val="007F0E2A"/>
    <w:rsid w:val="007F16D0"/>
    <w:rsid w:val="007F1D54"/>
    <w:rsid w:val="007F2560"/>
    <w:rsid w:val="007F2A2E"/>
    <w:rsid w:val="007F3046"/>
    <w:rsid w:val="007F3585"/>
    <w:rsid w:val="007F35DA"/>
    <w:rsid w:val="007F452C"/>
    <w:rsid w:val="007F5346"/>
    <w:rsid w:val="007F56FB"/>
    <w:rsid w:val="007F62DD"/>
    <w:rsid w:val="007F6907"/>
    <w:rsid w:val="007F6F07"/>
    <w:rsid w:val="007F7019"/>
    <w:rsid w:val="007F713E"/>
    <w:rsid w:val="007F7C61"/>
    <w:rsid w:val="007F7E79"/>
    <w:rsid w:val="0080059C"/>
    <w:rsid w:val="00800FAF"/>
    <w:rsid w:val="00801300"/>
    <w:rsid w:val="0080186D"/>
    <w:rsid w:val="00801A2F"/>
    <w:rsid w:val="00801E50"/>
    <w:rsid w:val="00802411"/>
    <w:rsid w:val="00802761"/>
    <w:rsid w:val="008034EB"/>
    <w:rsid w:val="00803890"/>
    <w:rsid w:val="00803B87"/>
    <w:rsid w:val="00803E5D"/>
    <w:rsid w:val="00803FEC"/>
    <w:rsid w:val="00804463"/>
    <w:rsid w:val="008049B1"/>
    <w:rsid w:val="008050CA"/>
    <w:rsid w:val="008051A4"/>
    <w:rsid w:val="008059D2"/>
    <w:rsid w:val="00806292"/>
    <w:rsid w:val="00806D2F"/>
    <w:rsid w:val="00807FB7"/>
    <w:rsid w:val="0081031D"/>
    <w:rsid w:val="00810799"/>
    <w:rsid w:val="00810E79"/>
    <w:rsid w:val="00812B48"/>
    <w:rsid w:val="0081369B"/>
    <w:rsid w:val="00813E4E"/>
    <w:rsid w:val="008141A1"/>
    <w:rsid w:val="00814824"/>
    <w:rsid w:val="00814CB0"/>
    <w:rsid w:val="00814DF9"/>
    <w:rsid w:val="0081622C"/>
    <w:rsid w:val="0081663B"/>
    <w:rsid w:val="00817B6D"/>
    <w:rsid w:val="00817EDC"/>
    <w:rsid w:val="008203D6"/>
    <w:rsid w:val="008213FA"/>
    <w:rsid w:val="00821F2C"/>
    <w:rsid w:val="008227AD"/>
    <w:rsid w:val="0082392C"/>
    <w:rsid w:val="00823C87"/>
    <w:rsid w:val="008246C7"/>
    <w:rsid w:val="0082522F"/>
    <w:rsid w:val="00825B89"/>
    <w:rsid w:val="00825DD9"/>
    <w:rsid w:val="00826D2B"/>
    <w:rsid w:val="008276A4"/>
    <w:rsid w:val="00827BF6"/>
    <w:rsid w:val="008301B8"/>
    <w:rsid w:val="00830BC3"/>
    <w:rsid w:val="00830E83"/>
    <w:rsid w:val="0083108F"/>
    <w:rsid w:val="008315C1"/>
    <w:rsid w:val="008318A9"/>
    <w:rsid w:val="008319FF"/>
    <w:rsid w:val="0083269B"/>
    <w:rsid w:val="00832933"/>
    <w:rsid w:val="00832D6C"/>
    <w:rsid w:val="0083376F"/>
    <w:rsid w:val="00833908"/>
    <w:rsid w:val="00833A5B"/>
    <w:rsid w:val="00833BE8"/>
    <w:rsid w:val="00834B66"/>
    <w:rsid w:val="008355FD"/>
    <w:rsid w:val="00835772"/>
    <w:rsid w:val="00835919"/>
    <w:rsid w:val="00835B32"/>
    <w:rsid w:val="00835C08"/>
    <w:rsid w:val="008361D3"/>
    <w:rsid w:val="008370F5"/>
    <w:rsid w:val="00837FE4"/>
    <w:rsid w:val="008400B3"/>
    <w:rsid w:val="00840229"/>
    <w:rsid w:val="008406D5"/>
    <w:rsid w:val="00840A09"/>
    <w:rsid w:val="00840E06"/>
    <w:rsid w:val="00841261"/>
    <w:rsid w:val="00841278"/>
    <w:rsid w:val="008414E5"/>
    <w:rsid w:val="008425B3"/>
    <w:rsid w:val="00843098"/>
    <w:rsid w:val="008430F8"/>
    <w:rsid w:val="0084336D"/>
    <w:rsid w:val="0084359F"/>
    <w:rsid w:val="00843C80"/>
    <w:rsid w:val="00843F42"/>
    <w:rsid w:val="008447F9"/>
    <w:rsid w:val="008449B1"/>
    <w:rsid w:val="00844A4E"/>
    <w:rsid w:val="00844B94"/>
    <w:rsid w:val="00844DBA"/>
    <w:rsid w:val="00844E7D"/>
    <w:rsid w:val="00844EA7"/>
    <w:rsid w:val="0084594E"/>
    <w:rsid w:val="00845AEF"/>
    <w:rsid w:val="00845C74"/>
    <w:rsid w:val="008463A8"/>
    <w:rsid w:val="0084644B"/>
    <w:rsid w:val="00846924"/>
    <w:rsid w:val="008474DB"/>
    <w:rsid w:val="00847C91"/>
    <w:rsid w:val="008500CD"/>
    <w:rsid w:val="00850734"/>
    <w:rsid w:val="00850868"/>
    <w:rsid w:val="0085098F"/>
    <w:rsid w:val="00850F2D"/>
    <w:rsid w:val="00851178"/>
    <w:rsid w:val="008514F5"/>
    <w:rsid w:val="00851E20"/>
    <w:rsid w:val="0085294C"/>
    <w:rsid w:val="0085303B"/>
    <w:rsid w:val="00853789"/>
    <w:rsid w:val="00853A17"/>
    <w:rsid w:val="00853B6D"/>
    <w:rsid w:val="00853EB5"/>
    <w:rsid w:val="00854DF9"/>
    <w:rsid w:val="00854F47"/>
    <w:rsid w:val="00855539"/>
    <w:rsid w:val="00855C56"/>
    <w:rsid w:val="00855F6F"/>
    <w:rsid w:val="00856570"/>
    <w:rsid w:val="008565DD"/>
    <w:rsid w:val="00856CB0"/>
    <w:rsid w:val="00856ECA"/>
    <w:rsid w:val="008577F4"/>
    <w:rsid w:val="00857BD6"/>
    <w:rsid w:val="00857C90"/>
    <w:rsid w:val="008602DC"/>
    <w:rsid w:val="0086160E"/>
    <w:rsid w:val="0086164C"/>
    <w:rsid w:val="00862DA9"/>
    <w:rsid w:val="00863087"/>
    <w:rsid w:val="00863262"/>
    <w:rsid w:val="008637D1"/>
    <w:rsid w:val="00863BA5"/>
    <w:rsid w:val="00863FEC"/>
    <w:rsid w:val="00863FF3"/>
    <w:rsid w:val="00864664"/>
    <w:rsid w:val="008647B1"/>
    <w:rsid w:val="008648B3"/>
    <w:rsid w:val="00864F8A"/>
    <w:rsid w:val="0086565F"/>
    <w:rsid w:val="00865FC8"/>
    <w:rsid w:val="0086683E"/>
    <w:rsid w:val="0086686C"/>
    <w:rsid w:val="0087072B"/>
    <w:rsid w:val="008707A8"/>
    <w:rsid w:val="008709AC"/>
    <w:rsid w:val="00871243"/>
    <w:rsid w:val="00871268"/>
    <w:rsid w:val="00871308"/>
    <w:rsid w:val="0087168B"/>
    <w:rsid w:val="00871C1B"/>
    <w:rsid w:val="008721A3"/>
    <w:rsid w:val="0087299C"/>
    <w:rsid w:val="00875CB8"/>
    <w:rsid w:val="00875D39"/>
    <w:rsid w:val="008762FD"/>
    <w:rsid w:val="0087703B"/>
    <w:rsid w:val="00880126"/>
    <w:rsid w:val="00880C87"/>
    <w:rsid w:val="008819F3"/>
    <w:rsid w:val="00881AC9"/>
    <w:rsid w:val="00881C7A"/>
    <w:rsid w:val="00881E8D"/>
    <w:rsid w:val="00882163"/>
    <w:rsid w:val="0088237D"/>
    <w:rsid w:val="008825CF"/>
    <w:rsid w:val="008838A1"/>
    <w:rsid w:val="00883A16"/>
    <w:rsid w:val="00883DF9"/>
    <w:rsid w:val="0088460A"/>
    <w:rsid w:val="00884CA8"/>
    <w:rsid w:val="0088558D"/>
    <w:rsid w:val="00885DB6"/>
    <w:rsid w:val="00885FF9"/>
    <w:rsid w:val="008868CF"/>
    <w:rsid w:val="00886B40"/>
    <w:rsid w:val="00887024"/>
    <w:rsid w:val="008871EB"/>
    <w:rsid w:val="00887353"/>
    <w:rsid w:val="00887734"/>
    <w:rsid w:val="00887D12"/>
    <w:rsid w:val="00890D5B"/>
    <w:rsid w:val="00890E58"/>
    <w:rsid w:val="0089143A"/>
    <w:rsid w:val="00891DD4"/>
    <w:rsid w:val="00892C4B"/>
    <w:rsid w:val="00892E2F"/>
    <w:rsid w:val="008930B3"/>
    <w:rsid w:val="0089332F"/>
    <w:rsid w:val="00893353"/>
    <w:rsid w:val="00893542"/>
    <w:rsid w:val="0089395D"/>
    <w:rsid w:val="00893B0E"/>
    <w:rsid w:val="00893D3D"/>
    <w:rsid w:val="008948CD"/>
    <w:rsid w:val="0089492F"/>
    <w:rsid w:val="0089514D"/>
    <w:rsid w:val="008955AB"/>
    <w:rsid w:val="008962C6"/>
    <w:rsid w:val="00896501"/>
    <w:rsid w:val="0089764E"/>
    <w:rsid w:val="00897737"/>
    <w:rsid w:val="00897F58"/>
    <w:rsid w:val="008A16B5"/>
    <w:rsid w:val="008A1C34"/>
    <w:rsid w:val="008A1CEA"/>
    <w:rsid w:val="008A1F1F"/>
    <w:rsid w:val="008A2386"/>
    <w:rsid w:val="008A2717"/>
    <w:rsid w:val="008A2890"/>
    <w:rsid w:val="008A293F"/>
    <w:rsid w:val="008A2D23"/>
    <w:rsid w:val="008A2F76"/>
    <w:rsid w:val="008A33AA"/>
    <w:rsid w:val="008A36C5"/>
    <w:rsid w:val="008A4875"/>
    <w:rsid w:val="008A4A6D"/>
    <w:rsid w:val="008A4C66"/>
    <w:rsid w:val="008A4D7E"/>
    <w:rsid w:val="008A5387"/>
    <w:rsid w:val="008A580E"/>
    <w:rsid w:val="008A65EF"/>
    <w:rsid w:val="008A6704"/>
    <w:rsid w:val="008A6A5B"/>
    <w:rsid w:val="008A6DC7"/>
    <w:rsid w:val="008A7673"/>
    <w:rsid w:val="008A7870"/>
    <w:rsid w:val="008A7A01"/>
    <w:rsid w:val="008A7DB7"/>
    <w:rsid w:val="008A7DCE"/>
    <w:rsid w:val="008B1536"/>
    <w:rsid w:val="008B285E"/>
    <w:rsid w:val="008B2B85"/>
    <w:rsid w:val="008B2CCE"/>
    <w:rsid w:val="008B2F1D"/>
    <w:rsid w:val="008B2FF4"/>
    <w:rsid w:val="008B46B5"/>
    <w:rsid w:val="008B4AE8"/>
    <w:rsid w:val="008B5187"/>
    <w:rsid w:val="008B5590"/>
    <w:rsid w:val="008B5B00"/>
    <w:rsid w:val="008B5D4B"/>
    <w:rsid w:val="008B634E"/>
    <w:rsid w:val="008B6BBA"/>
    <w:rsid w:val="008B75C9"/>
    <w:rsid w:val="008C0C6D"/>
    <w:rsid w:val="008C153C"/>
    <w:rsid w:val="008C1963"/>
    <w:rsid w:val="008C1C05"/>
    <w:rsid w:val="008C21C0"/>
    <w:rsid w:val="008C22A8"/>
    <w:rsid w:val="008C29CD"/>
    <w:rsid w:val="008C2C4B"/>
    <w:rsid w:val="008C306F"/>
    <w:rsid w:val="008C33BB"/>
    <w:rsid w:val="008C3CE6"/>
    <w:rsid w:val="008C4474"/>
    <w:rsid w:val="008C4590"/>
    <w:rsid w:val="008C5270"/>
    <w:rsid w:val="008C5417"/>
    <w:rsid w:val="008C5B26"/>
    <w:rsid w:val="008D0358"/>
    <w:rsid w:val="008D040C"/>
    <w:rsid w:val="008D0881"/>
    <w:rsid w:val="008D0FDE"/>
    <w:rsid w:val="008D1E89"/>
    <w:rsid w:val="008D1FFC"/>
    <w:rsid w:val="008D2619"/>
    <w:rsid w:val="008D2A68"/>
    <w:rsid w:val="008D2C5C"/>
    <w:rsid w:val="008D341D"/>
    <w:rsid w:val="008D36CC"/>
    <w:rsid w:val="008D37FC"/>
    <w:rsid w:val="008D4D9D"/>
    <w:rsid w:val="008D53C8"/>
    <w:rsid w:val="008D5C29"/>
    <w:rsid w:val="008D63F8"/>
    <w:rsid w:val="008D6C51"/>
    <w:rsid w:val="008D6D40"/>
    <w:rsid w:val="008D737F"/>
    <w:rsid w:val="008D7B02"/>
    <w:rsid w:val="008D7DD3"/>
    <w:rsid w:val="008E075E"/>
    <w:rsid w:val="008E07C6"/>
    <w:rsid w:val="008E11D6"/>
    <w:rsid w:val="008E11F3"/>
    <w:rsid w:val="008E262C"/>
    <w:rsid w:val="008E3066"/>
    <w:rsid w:val="008E3528"/>
    <w:rsid w:val="008E3F37"/>
    <w:rsid w:val="008E3F92"/>
    <w:rsid w:val="008E413F"/>
    <w:rsid w:val="008E4201"/>
    <w:rsid w:val="008E4463"/>
    <w:rsid w:val="008E49DD"/>
    <w:rsid w:val="008E4B38"/>
    <w:rsid w:val="008E58FF"/>
    <w:rsid w:val="008E5969"/>
    <w:rsid w:val="008E5E82"/>
    <w:rsid w:val="008E7DDA"/>
    <w:rsid w:val="008F04A4"/>
    <w:rsid w:val="008F13DA"/>
    <w:rsid w:val="008F149C"/>
    <w:rsid w:val="008F1F85"/>
    <w:rsid w:val="008F2C94"/>
    <w:rsid w:val="008F34DF"/>
    <w:rsid w:val="008F3647"/>
    <w:rsid w:val="008F3754"/>
    <w:rsid w:val="008F37E8"/>
    <w:rsid w:val="008F3932"/>
    <w:rsid w:val="008F4F1F"/>
    <w:rsid w:val="008F4F40"/>
    <w:rsid w:val="008F536D"/>
    <w:rsid w:val="008F567F"/>
    <w:rsid w:val="008F57E2"/>
    <w:rsid w:val="008F5D63"/>
    <w:rsid w:val="008F5EB5"/>
    <w:rsid w:val="008F6018"/>
    <w:rsid w:val="008F6317"/>
    <w:rsid w:val="008F64FD"/>
    <w:rsid w:val="008F6A39"/>
    <w:rsid w:val="008F6D13"/>
    <w:rsid w:val="008F6DCA"/>
    <w:rsid w:val="008F72E0"/>
    <w:rsid w:val="008F77B4"/>
    <w:rsid w:val="008F7ED0"/>
    <w:rsid w:val="008F7FFC"/>
    <w:rsid w:val="00900206"/>
    <w:rsid w:val="0090075C"/>
    <w:rsid w:val="00900CD2"/>
    <w:rsid w:val="009012D5"/>
    <w:rsid w:val="009015D3"/>
    <w:rsid w:val="0090165D"/>
    <w:rsid w:val="00901840"/>
    <w:rsid w:val="00901A94"/>
    <w:rsid w:val="009020C6"/>
    <w:rsid w:val="009027B3"/>
    <w:rsid w:val="009035B1"/>
    <w:rsid w:val="00903695"/>
    <w:rsid w:val="009038C6"/>
    <w:rsid w:val="00903910"/>
    <w:rsid w:val="0090416D"/>
    <w:rsid w:val="009045B6"/>
    <w:rsid w:val="00907663"/>
    <w:rsid w:val="00907C2D"/>
    <w:rsid w:val="00910803"/>
    <w:rsid w:val="00912434"/>
    <w:rsid w:val="00913149"/>
    <w:rsid w:val="00913605"/>
    <w:rsid w:val="00913636"/>
    <w:rsid w:val="009142A1"/>
    <w:rsid w:val="009145AF"/>
    <w:rsid w:val="00914FEB"/>
    <w:rsid w:val="00915077"/>
    <w:rsid w:val="0091516B"/>
    <w:rsid w:val="0091627C"/>
    <w:rsid w:val="009168E4"/>
    <w:rsid w:val="0091752E"/>
    <w:rsid w:val="009202EC"/>
    <w:rsid w:val="009204F7"/>
    <w:rsid w:val="00920F10"/>
    <w:rsid w:val="00921BAD"/>
    <w:rsid w:val="00921F58"/>
    <w:rsid w:val="00922303"/>
    <w:rsid w:val="0092259D"/>
    <w:rsid w:val="0092479B"/>
    <w:rsid w:val="00924A39"/>
    <w:rsid w:val="00925A00"/>
    <w:rsid w:val="00925D39"/>
    <w:rsid w:val="009260E1"/>
    <w:rsid w:val="009261EA"/>
    <w:rsid w:val="00926438"/>
    <w:rsid w:val="0092643D"/>
    <w:rsid w:val="009267DA"/>
    <w:rsid w:val="0092686C"/>
    <w:rsid w:val="00926C40"/>
    <w:rsid w:val="00927572"/>
    <w:rsid w:val="009276A8"/>
    <w:rsid w:val="00931056"/>
    <w:rsid w:val="0093118B"/>
    <w:rsid w:val="009313D6"/>
    <w:rsid w:val="00931A9A"/>
    <w:rsid w:val="00931E6B"/>
    <w:rsid w:val="00931F3D"/>
    <w:rsid w:val="00932183"/>
    <w:rsid w:val="00932190"/>
    <w:rsid w:val="0093220E"/>
    <w:rsid w:val="00932224"/>
    <w:rsid w:val="00932E3B"/>
    <w:rsid w:val="0093322F"/>
    <w:rsid w:val="00933793"/>
    <w:rsid w:val="00933B42"/>
    <w:rsid w:val="0093435C"/>
    <w:rsid w:val="00934419"/>
    <w:rsid w:val="00934B9C"/>
    <w:rsid w:val="00934CBA"/>
    <w:rsid w:val="00934E6F"/>
    <w:rsid w:val="0093520A"/>
    <w:rsid w:val="0093575F"/>
    <w:rsid w:val="009357E9"/>
    <w:rsid w:val="00935D52"/>
    <w:rsid w:val="00936662"/>
    <w:rsid w:val="00936810"/>
    <w:rsid w:val="00936BD0"/>
    <w:rsid w:val="00936DAF"/>
    <w:rsid w:val="00936FAA"/>
    <w:rsid w:val="0093723D"/>
    <w:rsid w:val="00940796"/>
    <w:rsid w:val="00940A3A"/>
    <w:rsid w:val="00940C3D"/>
    <w:rsid w:val="009413AB"/>
    <w:rsid w:val="009414D9"/>
    <w:rsid w:val="009416DE"/>
    <w:rsid w:val="009428CA"/>
    <w:rsid w:val="00942AF1"/>
    <w:rsid w:val="00942B62"/>
    <w:rsid w:val="00942DF2"/>
    <w:rsid w:val="00943261"/>
    <w:rsid w:val="00943A10"/>
    <w:rsid w:val="00944889"/>
    <w:rsid w:val="00945164"/>
    <w:rsid w:val="00945AF5"/>
    <w:rsid w:val="009461DB"/>
    <w:rsid w:val="00946428"/>
    <w:rsid w:val="009468D3"/>
    <w:rsid w:val="00946F86"/>
    <w:rsid w:val="009471A3"/>
    <w:rsid w:val="00947325"/>
    <w:rsid w:val="00950116"/>
    <w:rsid w:val="0095033A"/>
    <w:rsid w:val="00950D63"/>
    <w:rsid w:val="00950E2D"/>
    <w:rsid w:val="00950FB4"/>
    <w:rsid w:val="00951609"/>
    <w:rsid w:val="00952162"/>
    <w:rsid w:val="00952326"/>
    <w:rsid w:val="00952AF4"/>
    <w:rsid w:val="00952F3A"/>
    <w:rsid w:val="0095321C"/>
    <w:rsid w:val="00953363"/>
    <w:rsid w:val="00953965"/>
    <w:rsid w:val="00953C11"/>
    <w:rsid w:val="00954FC4"/>
    <w:rsid w:val="00955134"/>
    <w:rsid w:val="0095567F"/>
    <w:rsid w:val="009556C6"/>
    <w:rsid w:val="00956172"/>
    <w:rsid w:val="009564A3"/>
    <w:rsid w:val="009566D0"/>
    <w:rsid w:val="00956D13"/>
    <w:rsid w:val="00956E5C"/>
    <w:rsid w:val="00957803"/>
    <w:rsid w:val="009578B1"/>
    <w:rsid w:val="009578B4"/>
    <w:rsid w:val="009603F7"/>
    <w:rsid w:val="0096047D"/>
    <w:rsid w:val="009606DC"/>
    <w:rsid w:val="009609D7"/>
    <w:rsid w:val="00960F70"/>
    <w:rsid w:val="00961FD8"/>
    <w:rsid w:val="00962029"/>
    <w:rsid w:val="009623D7"/>
    <w:rsid w:val="009630A2"/>
    <w:rsid w:val="009633F6"/>
    <w:rsid w:val="00963670"/>
    <w:rsid w:val="009638F5"/>
    <w:rsid w:val="00964641"/>
    <w:rsid w:val="00964C84"/>
    <w:rsid w:val="00964E24"/>
    <w:rsid w:val="00965099"/>
    <w:rsid w:val="00965C43"/>
    <w:rsid w:val="00966384"/>
    <w:rsid w:val="0096650C"/>
    <w:rsid w:val="00966569"/>
    <w:rsid w:val="00966DD5"/>
    <w:rsid w:val="00967247"/>
    <w:rsid w:val="00967769"/>
    <w:rsid w:val="009677E1"/>
    <w:rsid w:val="0097007C"/>
    <w:rsid w:val="009703DA"/>
    <w:rsid w:val="00970864"/>
    <w:rsid w:val="00970E26"/>
    <w:rsid w:val="00972143"/>
    <w:rsid w:val="009731D2"/>
    <w:rsid w:val="009733B9"/>
    <w:rsid w:val="00973FF6"/>
    <w:rsid w:val="00974935"/>
    <w:rsid w:val="0097623C"/>
    <w:rsid w:val="00977DA7"/>
    <w:rsid w:val="009800E0"/>
    <w:rsid w:val="00980344"/>
    <w:rsid w:val="00980E85"/>
    <w:rsid w:val="0098133D"/>
    <w:rsid w:val="0098194A"/>
    <w:rsid w:val="00981A41"/>
    <w:rsid w:val="0098389D"/>
    <w:rsid w:val="00983B4E"/>
    <w:rsid w:val="00983CD5"/>
    <w:rsid w:val="00984321"/>
    <w:rsid w:val="0098488E"/>
    <w:rsid w:val="0098550D"/>
    <w:rsid w:val="009858F2"/>
    <w:rsid w:val="0098593E"/>
    <w:rsid w:val="00986448"/>
    <w:rsid w:val="00987688"/>
    <w:rsid w:val="0099015D"/>
    <w:rsid w:val="00990F05"/>
    <w:rsid w:val="009915A4"/>
    <w:rsid w:val="00991A10"/>
    <w:rsid w:val="00992450"/>
    <w:rsid w:val="009926E4"/>
    <w:rsid w:val="0099330F"/>
    <w:rsid w:val="0099351D"/>
    <w:rsid w:val="009935D6"/>
    <w:rsid w:val="0099376B"/>
    <w:rsid w:val="00993B1D"/>
    <w:rsid w:val="00993BFD"/>
    <w:rsid w:val="00993F11"/>
    <w:rsid w:val="00993FB5"/>
    <w:rsid w:val="00994547"/>
    <w:rsid w:val="009957CC"/>
    <w:rsid w:val="00995F8F"/>
    <w:rsid w:val="00996182"/>
    <w:rsid w:val="0099662C"/>
    <w:rsid w:val="00996E73"/>
    <w:rsid w:val="0099796C"/>
    <w:rsid w:val="009A05CA"/>
    <w:rsid w:val="009A1685"/>
    <w:rsid w:val="009A1686"/>
    <w:rsid w:val="009A1781"/>
    <w:rsid w:val="009A1798"/>
    <w:rsid w:val="009A22C0"/>
    <w:rsid w:val="009A2377"/>
    <w:rsid w:val="009A2F6E"/>
    <w:rsid w:val="009A331E"/>
    <w:rsid w:val="009A350F"/>
    <w:rsid w:val="009A3CE1"/>
    <w:rsid w:val="009A3D94"/>
    <w:rsid w:val="009A5245"/>
    <w:rsid w:val="009A550B"/>
    <w:rsid w:val="009A5EC6"/>
    <w:rsid w:val="009A679F"/>
    <w:rsid w:val="009A73E9"/>
    <w:rsid w:val="009B0163"/>
    <w:rsid w:val="009B0803"/>
    <w:rsid w:val="009B1594"/>
    <w:rsid w:val="009B2102"/>
    <w:rsid w:val="009B24D4"/>
    <w:rsid w:val="009B2755"/>
    <w:rsid w:val="009B280B"/>
    <w:rsid w:val="009B30E9"/>
    <w:rsid w:val="009B442F"/>
    <w:rsid w:val="009B4702"/>
    <w:rsid w:val="009B4FCC"/>
    <w:rsid w:val="009B50C3"/>
    <w:rsid w:val="009B54FB"/>
    <w:rsid w:val="009B5A8F"/>
    <w:rsid w:val="009B65E3"/>
    <w:rsid w:val="009B660E"/>
    <w:rsid w:val="009B6887"/>
    <w:rsid w:val="009B6B54"/>
    <w:rsid w:val="009B6CAF"/>
    <w:rsid w:val="009B74D5"/>
    <w:rsid w:val="009B7735"/>
    <w:rsid w:val="009B7907"/>
    <w:rsid w:val="009B7D84"/>
    <w:rsid w:val="009C0DEB"/>
    <w:rsid w:val="009C16B7"/>
    <w:rsid w:val="009C1779"/>
    <w:rsid w:val="009C1854"/>
    <w:rsid w:val="009C1D4C"/>
    <w:rsid w:val="009C2083"/>
    <w:rsid w:val="009C277D"/>
    <w:rsid w:val="009C2BC3"/>
    <w:rsid w:val="009C2CA9"/>
    <w:rsid w:val="009C348B"/>
    <w:rsid w:val="009C3BF9"/>
    <w:rsid w:val="009C3E18"/>
    <w:rsid w:val="009C41A3"/>
    <w:rsid w:val="009C4B0D"/>
    <w:rsid w:val="009C4EA2"/>
    <w:rsid w:val="009C544A"/>
    <w:rsid w:val="009C55C8"/>
    <w:rsid w:val="009C6C54"/>
    <w:rsid w:val="009C6D5A"/>
    <w:rsid w:val="009C70FB"/>
    <w:rsid w:val="009C72D6"/>
    <w:rsid w:val="009C7F6F"/>
    <w:rsid w:val="009D0D3F"/>
    <w:rsid w:val="009D1E63"/>
    <w:rsid w:val="009D235C"/>
    <w:rsid w:val="009D25C6"/>
    <w:rsid w:val="009D26F5"/>
    <w:rsid w:val="009D27ED"/>
    <w:rsid w:val="009D289C"/>
    <w:rsid w:val="009D3218"/>
    <w:rsid w:val="009D424B"/>
    <w:rsid w:val="009D446C"/>
    <w:rsid w:val="009D463F"/>
    <w:rsid w:val="009D4BFE"/>
    <w:rsid w:val="009D5033"/>
    <w:rsid w:val="009D542F"/>
    <w:rsid w:val="009D5D1A"/>
    <w:rsid w:val="009D5DCF"/>
    <w:rsid w:val="009D653A"/>
    <w:rsid w:val="009D6861"/>
    <w:rsid w:val="009D76DB"/>
    <w:rsid w:val="009D78F4"/>
    <w:rsid w:val="009D7B9D"/>
    <w:rsid w:val="009D7E66"/>
    <w:rsid w:val="009E0C5B"/>
    <w:rsid w:val="009E1D7E"/>
    <w:rsid w:val="009E2C44"/>
    <w:rsid w:val="009E3083"/>
    <w:rsid w:val="009E3AB9"/>
    <w:rsid w:val="009E41C4"/>
    <w:rsid w:val="009E490C"/>
    <w:rsid w:val="009E5813"/>
    <w:rsid w:val="009E67C3"/>
    <w:rsid w:val="009E689E"/>
    <w:rsid w:val="009E70FC"/>
    <w:rsid w:val="009E7482"/>
    <w:rsid w:val="009E7BF6"/>
    <w:rsid w:val="009F03EF"/>
    <w:rsid w:val="009F0772"/>
    <w:rsid w:val="009F0CF4"/>
    <w:rsid w:val="009F0EBE"/>
    <w:rsid w:val="009F1901"/>
    <w:rsid w:val="009F1B1C"/>
    <w:rsid w:val="009F27A8"/>
    <w:rsid w:val="009F292C"/>
    <w:rsid w:val="009F2F25"/>
    <w:rsid w:val="009F30E6"/>
    <w:rsid w:val="009F33F7"/>
    <w:rsid w:val="009F3C9D"/>
    <w:rsid w:val="009F46B5"/>
    <w:rsid w:val="009F53DB"/>
    <w:rsid w:val="009F54EC"/>
    <w:rsid w:val="009F581A"/>
    <w:rsid w:val="009F5893"/>
    <w:rsid w:val="009F5957"/>
    <w:rsid w:val="009F5C40"/>
    <w:rsid w:val="009F6477"/>
    <w:rsid w:val="009F69E8"/>
    <w:rsid w:val="009F6D18"/>
    <w:rsid w:val="009F6DE8"/>
    <w:rsid w:val="009F705B"/>
    <w:rsid w:val="009F737E"/>
    <w:rsid w:val="009F7C36"/>
    <w:rsid w:val="00A000B6"/>
    <w:rsid w:val="00A00B3F"/>
    <w:rsid w:val="00A01B03"/>
    <w:rsid w:val="00A01B9B"/>
    <w:rsid w:val="00A0215B"/>
    <w:rsid w:val="00A02396"/>
    <w:rsid w:val="00A02891"/>
    <w:rsid w:val="00A029A1"/>
    <w:rsid w:val="00A02DB4"/>
    <w:rsid w:val="00A02E4A"/>
    <w:rsid w:val="00A02EBD"/>
    <w:rsid w:val="00A031D6"/>
    <w:rsid w:val="00A044DF"/>
    <w:rsid w:val="00A048AC"/>
    <w:rsid w:val="00A04C59"/>
    <w:rsid w:val="00A04DF1"/>
    <w:rsid w:val="00A04F5B"/>
    <w:rsid w:val="00A04FD6"/>
    <w:rsid w:val="00A05144"/>
    <w:rsid w:val="00A0539C"/>
    <w:rsid w:val="00A057AA"/>
    <w:rsid w:val="00A059F9"/>
    <w:rsid w:val="00A061B5"/>
    <w:rsid w:val="00A0658B"/>
    <w:rsid w:val="00A069B5"/>
    <w:rsid w:val="00A06C11"/>
    <w:rsid w:val="00A06C27"/>
    <w:rsid w:val="00A074C6"/>
    <w:rsid w:val="00A07997"/>
    <w:rsid w:val="00A07A2D"/>
    <w:rsid w:val="00A07A6B"/>
    <w:rsid w:val="00A07B45"/>
    <w:rsid w:val="00A07BA7"/>
    <w:rsid w:val="00A07DFE"/>
    <w:rsid w:val="00A10205"/>
    <w:rsid w:val="00A1038A"/>
    <w:rsid w:val="00A10CE4"/>
    <w:rsid w:val="00A10CED"/>
    <w:rsid w:val="00A110DA"/>
    <w:rsid w:val="00A12633"/>
    <w:rsid w:val="00A13375"/>
    <w:rsid w:val="00A13F0D"/>
    <w:rsid w:val="00A14970"/>
    <w:rsid w:val="00A15E07"/>
    <w:rsid w:val="00A15EB1"/>
    <w:rsid w:val="00A16D4F"/>
    <w:rsid w:val="00A172F9"/>
    <w:rsid w:val="00A176A7"/>
    <w:rsid w:val="00A17838"/>
    <w:rsid w:val="00A20116"/>
    <w:rsid w:val="00A21559"/>
    <w:rsid w:val="00A2172C"/>
    <w:rsid w:val="00A217D9"/>
    <w:rsid w:val="00A219CC"/>
    <w:rsid w:val="00A22716"/>
    <w:rsid w:val="00A229C1"/>
    <w:rsid w:val="00A23149"/>
    <w:rsid w:val="00A23828"/>
    <w:rsid w:val="00A23865"/>
    <w:rsid w:val="00A2489A"/>
    <w:rsid w:val="00A25CE2"/>
    <w:rsid w:val="00A25EC1"/>
    <w:rsid w:val="00A2637F"/>
    <w:rsid w:val="00A26884"/>
    <w:rsid w:val="00A276DA"/>
    <w:rsid w:val="00A30CAC"/>
    <w:rsid w:val="00A31229"/>
    <w:rsid w:val="00A316BF"/>
    <w:rsid w:val="00A31E8B"/>
    <w:rsid w:val="00A32A1A"/>
    <w:rsid w:val="00A32B47"/>
    <w:rsid w:val="00A33004"/>
    <w:rsid w:val="00A3340E"/>
    <w:rsid w:val="00A34424"/>
    <w:rsid w:val="00A34F3D"/>
    <w:rsid w:val="00A350D7"/>
    <w:rsid w:val="00A351D2"/>
    <w:rsid w:val="00A35262"/>
    <w:rsid w:val="00A35A2C"/>
    <w:rsid w:val="00A35F1F"/>
    <w:rsid w:val="00A35FB3"/>
    <w:rsid w:val="00A36A48"/>
    <w:rsid w:val="00A36A66"/>
    <w:rsid w:val="00A3766B"/>
    <w:rsid w:val="00A379F5"/>
    <w:rsid w:val="00A37A54"/>
    <w:rsid w:val="00A37CB3"/>
    <w:rsid w:val="00A4032D"/>
    <w:rsid w:val="00A405AD"/>
    <w:rsid w:val="00A40B0F"/>
    <w:rsid w:val="00A40BC9"/>
    <w:rsid w:val="00A412D6"/>
    <w:rsid w:val="00A42769"/>
    <w:rsid w:val="00A42C22"/>
    <w:rsid w:val="00A42F22"/>
    <w:rsid w:val="00A43010"/>
    <w:rsid w:val="00A43247"/>
    <w:rsid w:val="00A4332A"/>
    <w:rsid w:val="00A43C38"/>
    <w:rsid w:val="00A44206"/>
    <w:rsid w:val="00A4481D"/>
    <w:rsid w:val="00A458A5"/>
    <w:rsid w:val="00A45AAF"/>
    <w:rsid w:val="00A45B29"/>
    <w:rsid w:val="00A4608F"/>
    <w:rsid w:val="00A46107"/>
    <w:rsid w:val="00A46F16"/>
    <w:rsid w:val="00A47363"/>
    <w:rsid w:val="00A47F8E"/>
    <w:rsid w:val="00A50352"/>
    <w:rsid w:val="00A5080B"/>
    <w:rsid w:val="00A50871"/>
    <w:rsid w:val="00A51054"/>
    <w:rsid w:val="00A51191"/>
    <w:rsid w:val="00A513D0"/>
    <w:rsid w:val="00A51584"/>
    <w:rsid w:val="00A52EB8"/>
    <w:rsid w:val="00A52F9F"/>
    <w:rsid w:val="00A53079"/>
    <w:rsid w:val="00A53827"/>
    <w:rsid w:val="00A545AB"/>
    <w:rsid w:val="00A54801"/>
    <w:rsid w:val="00A549C4"/>
    <w:rsid w:val="00A54F25"/>
    <w:rsid w:val="00A54F27"/>
    <w:rsid w:val="00A5540C"/>
    <w:rsid w:val="00A55D71"/>
    <w:rsid w:val="00A56DC9"/>
    <w:rsid w:val="00A57487"/>
    <w:rsid w:val="00A57C76"/>
    <w:rsid w:val="00A602CD"/>
    <w:rsid w:val="00A60D68"/>
    <w:rsid w:val="00A62144"/>
    <w:rsid w:val="00A62D1C"/>
    <w:rsid w:val="00A62DDB"/>
    <w:rsid w:val="00A62DFE"/>
    <w:rsid w:val="00A635F3"/>
    <w:rsid w:val="00A6401D"/>
    <w:rsid w:val="00A64D70"/>
    <w:rsid w:val="00A66070"/>
    <w:rsid w:val="00A6607F"/>
    <w:rsid w:val="00A66343"/>
    <w:rsid w:val="00A6699F"/>
    <w:rsid w:val="00A66A3A"/>
    <w:rsid w:val="00A670BF"/>
    <w:rsid w:val="00A6786C"/>
    <w:rsid w:val="00A67A98"/>
    <w:rsid w:val="00A7044B"/>
    <w:rsid w:val="00A707A4"/>
    <w:rsid w:val="00A7091E"/>
    <w:rsid w:val="00A70ACB"/>
    <w:rsid w:val="00A71AF5"/>
    <w:rsid w:val="00A72CAB"/>
    <w:rsid w:val="00A72FE7"/>
    <w:rsid w:val="00A747A9"/>
    <w:rsid w:val="00A74971"/>
    <w:rsid w:val="00A75142"/>
    <w:rsid w:val="00A7522A"/>
    <w:rsid w:val="00A7529B"/>
    <w:rsid w:val="00A75E6F"/>
    <w:rsid w:val="00A76218"/>
    <w:rsid w:val="00A76D3C"/>
    <w:rsid w:val="00A7794E"/>
    <w:rsid w:val="00A77DE8"/>
    <w:rsid w:val="00A8195A"/>
    <w:rsid w:val="00A819BC"/>
    <w:rsid w:val="00A81CFE"/>
    <w:rsid w:val="00A829A5"/>
    <w:rsid w:val="00A82BE2"/>
    <w:rsid w:val="00A82FED"/>
    <w:rsid w:val="00A83721"/>
    <w:rsid w:val="00A83CD4"/>
    <w:rsid w:val="00A84146"/>
    <w:rsid w:val="00A842EF"/>
    <w:rsid w:val="00A84949"/>
    <w:rsid w:val="00A85373"/>
    <w:rsid w:val="00A85888"/>
    <w:rsid w:val="00A85C4F"/>
    <w:rsid w:val="00A86603"/>
    <w:rsid w:val="00A868A8"/>
    <w:rsid w:val="00A86B04"/>
    <w:rsid w:val="00A87377"/>
    <w:rsid w:val="00A87BFE"/>
    <w:rsid w:val="00A87F99"/>
    <w:rsid w:val="00A90A08"/>
    <w:rsid w:val="00A915F0"/>
    <w:rsid w:val="00A916E8"/>
    <w:rsid w:val="00A916F3"/>
    <w:rsid w:val="00A9171C"/>
    <w:rsid w:val="00A928F0"/>
    <w:rsid w:val="00A92D9A"/>
    <w:rsid w:val="00A9313A"/>
    <w:rsid w:val="00A938E0"/>
    <w:rsid w:val="00A93A24"/>
    <w:rsid w:val="00A93C8D"/>
    <w:rsid w:val="00A945C8"/>
    <w:rsid w:val="00A96446"/>
    <w:rsid w:val="00A9654C"/>
    <w:rsid w:val="00A97422"/>
    <w:rsid w:val="00A97676"/>
    <w:rsid w:val="00A97C65"/>
    <w:rsid w:val="00A97DC1"/>
    <w:rsid w:val="00AA1C72"/>
    <w:rsid w:val="00AA1F76"/>
    <w:rsid w:val="00AA22B4"/>
    <w:rsid w:val="00AA3008"/>
    <w:rsid w:val="00AA37E0"/>
    <w:rsid w:val="00AA3919"/>
    <w:rsid w:val="00AA39FA"/>
    <w:rsid w:val="00AA43FB"/>
    <w:rsid w:val="00AA4530"/>
    <w:rsid w:val="00AA5FBA"/>
    <w:rsid w:val="00AA5FC0"/>
    <w:rsid w:val="00AA6283"/>
    <w:rsid w:val="00AA785F"/>
    <w:rsid w:val="00AA7989"/>
    <w:rsid w:val="00AA7D17"/>
    <w:rsid w:val="00AA7F94"/>
    <w:rsid w:val="00AB0009"/>
    <w:rsid w:val="00AB2439"/>
    <w:rsid w:val="00AB2880"/>
    <w:rsid w:val="00AB2F0A"/>
    <w:rsid w:val="00AB3F94"/>
    <w:rsid w:val="00AB43AC"/>
    <w:rsid w:val="00AB486D"/>
    <w:rsid w:val="00AB5750"/>
    <w:rsid w:val="00AB5917"/>
    <w:rsid w:val="00AB5B7C"/>
    <w:rsid w:val="00AB5BE3"/>
    <w:rsid w:val="00AB644F"/>
    <w:rsid w:val="00AB6614"/>
    <w:rsid w:val="00AB72D0"/>
    <w:rsid w:val="00AB7DDD"/>
    <w:rsid w:val="00AB7F5F"/>
    <w:rsid w:val="00AC1315"/>
    <w:rsid w:val="00AC14CE"/>
    <w:rsid w:val="00AC1881"/>
    <w:rsid w:val="00AC1DCB"/>
    <w:rsid w:val="00AC224B"/>
    <w:rsid w:val="00AC27E7"/>
    <w:rsid w:val="00AC298C"/>
    <w:rsid w:val="00AC3658"/>
    <w:rsid w:val="00AC3DB3"/>
    <w:rsid w:val="00AC3F47"/>
    <w:rsid w:val="00AC40C9"/>
    <w:rsid w:val="00AC43B9"/>
    <w:rsid w:val="00AC4486"/>
    <w:rsid w:val="00AC575E"/>
    <w:rsid w:val="00AC5B2A"/>
    <w:rsid w:val="00AC5DBE"/>
    <w:rsid w:val="00AC659A"/>
    <w:rsid w:val="00AC67D5"/>
    <w:rsid w:val="00AC68C7"/>
    <w:rsid w:val="00AC6A9A"/>
    <w:rsid w:val="00AC6B14"/>
    <w:rsid w:val="00AC6C1D"/>
    <w:rsid w:val="00AC720A"/>
    <w:rsid w:val="00AD02CD"/>
    <w:rsid w:val="00AD04C7"/>
    <w:rsid w:val="00AD0FE8"/>
    <w:rsid w:val="00AD1223"/>
    <w:rsid w:val="00AD16F9"/>
    <w:rsid w:val="00AD185B"/>
    <w:rsid w:val="00AD2147"/>
    <w:rsid w:val="00AD2569"/>
    <w:rsid w:val="00AD259B"/>
    <w:rsid w:val="00AD28BD"/>
    <w:rsid w:val="00AD2E28"/>
    <w:rsid w:val="00AD2E67"/>
    <w:rsid w:val="00AD2FE5"/>
    <w:rsid w:val="00AD3829"/>
    <w:rsid w:val="00AD39AE"/>
    <w:rsid w:val="00AD3C45"/>
    <w:rsid w:val="00AD3F84"/>
    <w:rsid w:val="00AD4838"/>
    <w:rsid w:val="00AD4DFB"/>
    <w:rsid w:val="00AD4ECF"/>
    <w:rsid w:val="00AD51A6"/>
    <w:rsid w:val="00AD59D5"/>
    <w:rsid w:val="00AD639B"/>
    <w:rsid w:val="00AD639C"/>
    <w:rsid w:val="00AD6D1C"/>
    <w:rsid w:val="00AD7BDC"/>
    <w:rsid w:val="00AD7E35"/>
    <w:rsid w:val="00AD7FE4"/>
    <w:rsid w:val="00AE017A"/>
    <w:rsid w:val="00AE0ABE"/>
    <w:rsid w:val="00AE0D08"/>
    <w:rsid w:val="00AE152A"/>
    <w:rsid w:val="00AE16CA"/>
    <w:rsid w:val="00AE1ECD"/>
    <w:rsid w:val="00AE3C67"/>
    <w:rsid w:val="00AE4054"/>
    <w:rsid w:val="00AE44BA"/>
    <w:rsid w:val="00AE4831"/>
    <w:rsid w:val="00AE4ABB"/>
    <w:rsid w:val="00AE4EBC"/>
    <w:rsid w:val="00AE545E"/>
    <w:rsid w:val="00AE5624"/>
    <w:rsid w:val="00AE59B1"/>
    <w:rsid w:val="00AE6047"/>
    <w:rsid w:val="00AE64E8"/>
    <w:rsid w:val="00AF0DF0"/>
    <w:rsid w:val="00AF18F9"/>
    <w:rsid w:val="00AF19E6"/>
    <w:rsid w:val="00AF1AC1"/>
    <w:rsid w:val="00AF2A9B"/>
    <w:rsid w:val="00AF356C"/>
    <w:rsid w:val="00AF3A11"/>
    <w:rsid w:val="00AF4391"/>
    <w:rsid w:val="00AF46A8"/>
    <w:rsid w:val="00AF4809"/>
    <w:rsid w:val="00AF4DD0"/>
    <w:rsid w:val="00AF5419"/>
    <w:rsid w:val="00AF5575"/>
    <w:rsid w:val="00AF5C5E"/>
    <w:rsid w:val="00AF643D"/>
    <w:rsid w:val="00AF64A9"/>
    <w:rsid w:val="00AF72BC"/>
    <w:rsid w:val="00AF7426"/>
    <w:rsid w:val="00AF75C0"/>
    <w:rsid w:val="00AF796D"/>
    <w:rsid w:val="00AF7A96"/>
    <w:rsid w:val="00B00309"/>
    <w:rsid w:val="00B00D1D"/>
    <w:rsid w:val="00B00F89"/>
    <w:rsid w:val="00B00FB2"/>
    <w:rsid w:val="00B01113"/>
    <w:rsid w:val="00B028EA"/>
    <w:rsid w:val="00B03A9F"/>
    <w:rsid w:val="00B04A79"/>
    <w:rsid w:val="00B059EE"/>
    <w:rsid w:val="00B060C5"/>
    <w:rsid w:val="00B06473"/>
    <w:rsid w:val="00B06AEB"/>
    <w:rsid w:val="00B06D61"/>
    <w:rsid w:val="00B06EA0"/>
    <w:rsid w:val="00B07407"/>
    <w:rsid w:val="00B07647"/>
    <w:rsid w:val="00B10774"/>
    <w:rsid w:val="00B110F4"/>
    <w:rsid w:val="00B11760"/>
    <w:rsid w:val="00B11BD7"/>
    <w:rsid w:val="00B124BF"/>
    <w:rsid w:val="00B12C28"/>
    <w:rsid w:val="00B133D9"/>
    <w:rsid w:val="00B13946"/>
    <w:rsid w:val="00B13E72"/>
    <w:rsid w:val="00B14AE3"/>
    <w:rsid w:val="00B15062"/>
    <w:rsid w:val="00B15448"/>
    <w:rsid w:val="00B159DF"/>
    <w:rsid w:val="00B160AD"/>
    <w:rsid w:val="00B163EA"/>
    <w:rsid w:val="00B16EBB"/>
    <w:rsid w:val="00B17CF6"/>
    <w:rsid w:val="00B20274"/>
    <w:rsid w:val="00B20A81"/>
    <w:rsid w:val="00B20A87"/>
    <w:rsid w:val="00B20FFD"/>
    <w:rsid w:val="00B21A9B"/>
    <w:rsid w:val="00B21F7A"/>
    <w:rsid w:val="00B2221B"/>
    <w:rsid w:val="00B22656"/>
    <w:rsid w:val="00B231F3"/>
    <w:rsid w:val="00B23AF0"/>
    <w:rsid w:val="00B24D03"/>
    <w:rsid w:val="00B24EEA"/>
    <w:rsid w:val="00B25326"/>
    <w:rsid w:val="00B2557C"/>
    <w:rsid w:val="00B25ABF"/>
    <w:rsid w:val="00B25B1B"/>
    <w:rsid w:val="00B2625A"/>
    <w:rsid w:val="00B26671"/>
    <w:rsid w:val="00B26C6E"/>
    <w:rsid w:val="00B26FD4"/>
    <w:rsid w:val="00B2706F"/>
    <w:rsid w:val="00B27896"/>
    <w:rsid w:val="00B27F46"/>
    <w:rsid w:val="00B308B3"/>
    <w:rsid w:val="00B309D6"/>
    <w:rsid w:val="00B30AD0"/>
    <w:rsid w:val="00B3130E"/>
    <w:rsid w:val="00B316A6"/>
    <w:rsid w:val="00B3173E"/>
    <w:rsid w:val="00B32079"/>
    <w:rsid w:val="00B32606"/>
    <w:rsid w:val="00B32C8E"/>
    <w:rsid w:val="00B3493E"/>
    <w:rsid w:val="00B34C32"/>
    <w:rsid w:val="00B35337"/>
    <w:rsid w:val="00B354E7"/>
    <w:rsid w:val="00B355B5"/>
    <w:rsid w:val="00B35762"/>
    <w:rsid w:val="00B35AA7"/>
    <w:rsid w:val="00B35BAE"/>
    <w:rsid w:val="00B35DD1"/>
    <w:rsid w:val="00B36287"/>
    <w:rsid w:val="00B36F9B"/>
    <w:rsid w:val="00B37090"/>
    <w:rsid w:val="00B378F2"/>
    <w:rsid w:val="00B3795F"/>
    <w:rsid w:val="00B37A76"/>
    <w:rsid w:val="00B4165F"/>
    <w:rsid w:val="00B41AEF"/>
    <w:rsid w:val="00B4222E"/>
    <w:rsid w:val="00B423B2"/>
    <w:rsid w:val="00B436A5"/>
    <w:rsid w:val="00B44684"/>
    <w:rsid w:val="00B452B2"/>
    <w:rsid w:val="00B452CF"/>
    <w:rsid w:val="00B45843"/>
    <w:rsid w:val="00B45C28"/>
    <w:rsid w:val="00B46093"/>
    <w:rsid w:val="00B46983"/>
    <w:rsid w:val="00B46AA7"/>
    <w:rsid w:val="00B46EB9"/>
    <w:rsid w:val="00B4702C"/>
    <w:rsid w:val="00B472AD"/>
    <w:rsid w:val="00B47755"/>
    <w:rsid w:val="00B4776B"/>
    <w:rsid w:val="00B5070E"/>
    <w:rsid w:val="00B50C2B"/>
    <w:rsid w:val="00B50CC5"/>
    <w:rsid w:val="00B50E0B"/>
    <w:rsid w:val="00B514A4"/>
    <w:rsid w:val="00B514C7"/>
    <w:rsid w:val="00B516B3"/>
    <w:rsid w:val="00B51B6D"/>
    <w:rsid w:val="00B51D48"/>
    <w:rsid w:val="00B523A9"/>
    <w:rsid w:val="00B5263F"/>
    <w:rsid w:val="00B5302A"/>
    <w:rsid w:val="00B53FAE"/>
    <w:rsid w:val="00B54094"/>
    <w:rsid w:val="00B54636"/>
    <w:rsid w:val="00B54D44"/>
    <w:rsid w:val="00B55434"/>
    <w:rsid w:val="00B55E2E"/>
    <w:rsid w:val="00B56014"/>
    <w:rsid w:val="00B5632B"/>
    <w:rsid w:val="00B5690A"/>
    <w:rsid w:val="00B56C8A"/>
    <w:rsid w:val="00B56D90"/>
    <w:rsid w:val="00B577CC"/>
    <w:rsid w:val="00B57F9D"/>
    <w:rsid w:val="00B60A3B"/>
    <w:rsid w:val="00B60C58"/>
    <w:rsid w:val="00B61905"/>
    <w:rsid w:val="00B61CA9"/>
    <w:rsid w:val="00B61F08"/>
    <w:rsid w:val="00B6223B"/>
    <w:rsid w:val="00B62955"/>
    <w:rsid w:val="00B630DE"/>
    <w:rsid w:val="00B6360B"/>
    <w:rsid w:val="00B63666"/>
    <w:rsid w:val="00B637FF"/>
    <w:rsid w:val="00B63EC1"/>
    <w:rsid w:val="00B6501B"/>
    <w:rsid w:val="00B65E99"/>
    <w:rsid w:val="00B660D8"/>
    <w:rsid w:val="00B6648C"/>
    <w:rsid w:val="00B6675B"/>
    <w:rsid w:val="00B6689E"/>
    <w:rsid w:val="00B670A2"/>
    <w:rsid w:val="00B700C7"/>
    <w:rsid w:val="00B70BE2"/>
    <w:rsid w:val="00B70C55"/>
    <w:rsid w:val="00B7102F"/>
    <w:rsid w:val="00B736B6"/>
    <w:rsid w:val="00B7371D"/>
    <w:rsid w:val="00B73A6D"/>
    <w:rsid w:val="00B74149"/>
    <w:rsid w:val="00B747B3"/>
    <w:rsid w:val="00B7548E"/>
    <w:rsid w:val="00B75750"/>
    <w:rsid w:val="00B76987"/>
    <w:rsid w:val="00B76BB8"/>
    <w:rsid w:val="00B771AF"/>
    <w:rsid w:val="00B771B2"/>
    <w:rsid w:val="00B80281"/>
    <w:rsid w:val="00B80316"/>
    <w:rsid w:val="00B80343"/>
    <w:rsid w:val="00B8085A"/>
    <w:rsid w:val="00B81019"/>
    <w:rsid w:val="00B81DF4"/>
    <w:rsid w:val="00B82591"/>
    <w:rsid w:val="00B82D2E"/>
    <w:rsid w:val="00B83147"/>
    <w:rsid w:val="00B83651"/>
    <w:rsid w:val="00B83E08"/>
    <w:rsid w:val="00B85241"/>
    <w:rsid w:val="00B86DA6"/>
    <w:rsid w:val="00B87606"/>
    <w:rsid w:val="00B9019B"/>
    <w:rsid w:val="00B90D39"/>
    <w:rsid w:val="00B90DEB"/>
    <w:rsid w:val="00B90FF2"/>
    <w:rsid w:val="00B916B2"/>
    <w:rsid w:val="00B91BC8"/>
    <w:rsid w:val="00B91C95"/>
    <w:rsid w:val="00B92347"/>
    <w:rsid w:val="00B923E7"/>
    <w:rsid w:val="00B92949"/>
    <w:rsid w:val="00B93270"/>
    <w:rsid w:val="00B9352A"/>
    <w:rsid w:val="00B93684"/>
    <w:rsid w:val="00B93896"/>
    <w:rsid w:val="00B94312"/>
    <w:rsid w:val="00B94474"/>
    <w:rsid w:val="00B9473D"/>
    <w:rsid w:val="00B94A6B"/>
    <w:rsid w:val="00B94C5D"/>
    <w:rsid w:val="00B94E9A"/>
    <w:rsid w:val="00B95125"/>
    <w:rsid w:val="00B9549A"/>
    <w:rsid w:val="00B95785"/>
    <w:rsid w:val="00B96A26"/>
    <w:rsid w:val="00B9717C"/>
    <w:rsid w:val="00B97BBC"/>
    <w:rsid w:val="00BA003D"/>
    <w:rsid w:val="00BA0903"/>
    <w:rsid w:val="00BA0935"/>
    <w:rsid w:val="00BA0FC3"/>
    <w:rsid w:val="00BA1B27"/>
    <w:rsid w:val="00BA1B5B"/>
    <w:rsid w:val="00BA1D06"/>
    <w:rsid w:val="00BA20F9"/>
    <w:rsid w:val="00BA2200"/>
    <w:rsid w:val="00BA22F5"/>
    <w:rsid w:val="00BA235A"/>
    <w:rsid w:val="00BA25A3"/>
    <w:rsid w:val="00BA269E"/>
    <w:rsid w:val="00BA297E"/>
    <w:rsid w:val="00BA2C7B"/>
    <w:rsid w:val="00BA3367"/>
    <w:rsid w:val="00BA33FD"/>
    <w:rsid w:val="00BA3B57"/>
    <w:rsid w:val="00BA400A"/>
    <w:rsid w:val="00BA433E"/>
    <w:rsid w:val="00BA4725"/>
    <w:rsid w:val="00BA4E1A"/>
    <w:rsid w:val="00BA4F6A"/>
    <w:rsid w:val="00BA506D"/>
    <w:rsid w:val="00BA6DA8"/>
    <w:rsid w:val="00BA7626"/>
    <w:rsid w:val="00BA7C89"/>
    <w:rsid w:val="00BB02BB"/>
    <w:rsid w:val="00BB0608"/>
    <w:rsid w:val="00BB0BF2"/>
    <w:rsid w:val="00BB0CE3"/>
    <w:rsid w:val="00BB0D5B"/>
    <w:rsid w:val="00BB10FC"/>
    <w:rsid w:val="00BB119C"/>
    <w:rsid w:val="00BB1D6C"/>
    <w:rsid w:val="00BB2277"/>
    <w:rsid w:val="00BB339B"/>
    <w:rsid w:val="00BB40A6"/>
    <w:rsid w:val="00BB4110"/>
    <w:rsid w:val="00BB425B"/>
    <w:rsid w:val="00BB4622"/>
    <w:rsid w:val="00BB4716"/>
    <w:rsid w:val="00BB48E6"/>
    <w:rsid w:val="00BB4C9B"/>
    <w:rsid w:val="00BB52A5"/>
    <w:rsid w:val="00BB56A4"/>
    <w:rsid w:val="00BB59DA"/>
    <w:rsid w:val="00BB64AF"/>
    <w:rsid w:val="00BB74AA"/>
    <w:rsid w:val="00BB773C"/>
    <w:rsid w:val="00BC00C4"/>
    <w:rsid w:val="00BC0A5A"/>
    <w:rsid w:val="00BC0E38"/>
    <w:rsid w:val="00BC1376"/>
    <w:rsid w:val="00BC13B3"/>
    <w:rsid w:val="00BC15D8"/>
    <w:rsid w:val="00BC1ACC"/>
    <w:rsid w:val="00BC2605"/>
    <w:rsid w:val="00BC279D"/>
    <w:rsid w:val="00BC35AD"/>
    <w:rsid w:val="00BC3BA9"/>
    <w:rsid w:val="00BC43B0"/>
    <w:rsid w:val="00BC43F2"/>
    <w:rsid w:val="00BC58C2"/>
    <w:rsid w:val="00BC603F"/>
    <w:rsid w:val="00BC6687"/>
    <w:rsid w:val="00BC6F68"/>
    <w:rsid w:val="00BC7047"/>
    <w:rsid w:val="00BC79AC"/>
    <w:rsid w:val="00BC7E0D"/>
    <w:rsid w:val="00BC7FE0"/>
    <w:rsid w:val="00BD00AC"/>
    <w:rsid w:val="00BD04A4"/>
    <w:rsid w:val="00BD0713"/>
    <w:rsid w:val="00BD0A1E"/>
    <w:rsid w:val="00BD119B"/>
    <w:rsid w:val="00BD12DA"/>
    <w:rsid w:val="00BD1C9D"/>
    <w:rsid w:val="00BD2BD9"/>
    <w:rsid w:val="00BD308E"/>
    <w:rsid w:val="00BD3FA2"/>
    <w:rsid w:val="00BD425D"/>
    <w:rsid w:val="00BD44D7"/>
    <w:rsid w:val="00BD4DD3"/>
    <w:rsid w:val="00BD57A4"/>
    <w:rsid w:val="00BD58C3"/>
    <w:rsid w:val="00BD59D2"/>
    <w:rsid w:val="00BD5AC7"/>
    <w:rsid w:val="00BD6291"/>
    <w:rsid w:val="00BD664B"/>
    <w:rsid w:val="00BD669B"/>
    <w:rsid w:val="00BD77E9"/>
    <w:rsid w:val="00BE01B7"/>
    <w:rsid w:val="00BE0CE9"/>
    <w:rsid w:val="00BE110C"/>
    <w:rsid w:val="00BE1961"/>
    <w:rsid w:val="00BE1C69"/>
    <w:rsid w:val="00BE1D7F"/>
    <w:rsid w:val="00BE2034"/>
    <w:rsid w:val="00BE2627"/>
    <w:rsid w:val="00BE2B60"/>
    <w:rsid w:val="00BE2DA2"/>
    <w:rsid w:val="00BE2DEB"/>
    <w:rsid w:val="00BE33C5"/>
    <w:rsid w:val="00BE4010"/>
    <w:rsid w:val="00BE409C"/>
    <w:rsid w:val="00BE42B2"/>
    <w:rsid w:val="00BE44B0"/>
    <w:rsid w:val="00BE4503"/>
    <w:rsid w:val="00BE48EF"/>
    <w:rsid w:val="00BE494B"/>
    <w:rsid w:val="00BE4962"/>
    <w:rsid w:val="00BE5284"/>
    <w:rsid w:val="00BE5E8C"/>
    <w:rsid w:val="00BE5EAD"/>
    <w:rsid w:val="00BE61D3"/>
    <w:rsid w:val="00BE67BC"/>
    <w:rsid w:val="00BE6A80"/>
    <w:rsid w:val="00BE6B4C"/>
    <w:rsid w:val="00BE6FC0"/>
    <w:rsid w:val="00BE6FFF"/>
    <w:rsid w:val="00BE7193"/>
    <w:rsid w:val="00BE7A6C"/>
    <w:rsid w:val="00BF0041"/>
    <w:rsid w:val="00BF0EA3"/>
    <w:rsid w:val="00BF1373"/>
    <w:rsid w:val="00BF2150"/>
    <w:rsid w:val="00BF2779"/>
    <w:rsid w:val="00BF31D7"/>
    <w:rsid w:val="00BF3FF1"/>
    <w:rsid w:val="00BF4033"/>
    <w:rsid w:val="00BF44CC"/>
    <w:rsid w:val="00BF6003"/>
    <w:rsid w:val="00BF60D9"/>
    <w:rsid w:val="00BF6187"/>
    <w:rsid w:val="00BF717B"/>
    <w:rsid w:val="00BF723E"/>
    <w:rsid w:val="00BF7439"/>
    <w:rsid w:val="00C00C06"/>
    <w:rsid w:val="00C00DFC"/>
    <w:rsid w:val="00C01986"/>
    <w:rsid w:val="00C0199D"/>
    <w:rsid w:val="00C01E72"/>
    <w:rsid w:val="00C02128"/>
    <w:rsid w:val="00C022B1"/>
    <w:rsid w:val="00C02518"/>
    <w:rsid w:val="00C031CF"/>
    <w:rsid w:val="00C03526"/>
    <w:rsid w:val="00C039E7"/>
    <w:rsid w:val="00C04499"/>
    <w:rsid w:val="00C04A96"/>
    <w:rsid w:val="00C05065"/>
    <w:rsid w:val="00C051B7"/>
    <w:rsid w:val="00C05910"/>
    <w:rsid w:val="00C071C8"/>
    <w:rsid w:val="00C071D8"/>
    <w:rsid w:val="00C07AA3"/>
    <w:rsid w:val="00C07BEA"/>
    <w:rsid w:val="00C07E3A"/>
    <w:rsid w:val="00C102F2"/>
    <w:rsid w:val="00C10A36"/>
    <w:rsid w:val="00C10DA7"/>
    <w:rsid w:val="00C10E54"/>
    <w:rsid w:val="00C1126B"/>
    <w:rsid w:val="00C11288"/>
    <w:rsid w:val="00C114C8"/>
    <w:rsid w:val="00C1159E"/>
    <w:rsid w:val="00C11F5B"/>
    <w:rsid w:val="00C12006"/>
    <w:rsid w:val="00C12628"/>
    <w:rsid w:val="00C129B4"/>
    <w:rsid w:val="00C12A7D"/>
    <w:rsid w:val="00C1304C"/>
    <w:rsid w:val="00C1308C"/>
    <w:rsid w:val="00C13992"/>
    <w:rsid w:val="00C13D63"/>
    <w:rsid w:val="00C13E15"/>
    <w:rsid w:val="00C14DFE"/>
    <w:rsid w:val="00C14E7B"/>
    <w:rsid w:val="00C15028"/>
    <w:rsid w:val="00C153E5"/>
    <w:rsid w:val="00C15780"/>
    <w:rsid w:val="00C15B62"/>
    <w:rsid w:val="00C15F90"/>
    <w:rsid w:val="00C16919"/>
    <w:rsid w:val="00C16A0C"/>
    <w:rsid w:val="00C16B66"/>
    <w:rsid w:val="00C16D31"/>
    <w:rsid w:val="00C17449"/>
    <w:rsid w:val="00C17C03"/>
    <w:rsid w:val="00C20263"/>
    <w:rsid w:val="00C2027F"/>
    <w:rsid w:val="00C210A0"/>
    <w:rsid w:val="00C2128E"/>
    <w:rsid w:val="00C21A3B"/>
    <w:rsid w:val="00C226A0"/>
    <w:rsid w:val="00C2338D"/>
    <w:rsid w:val="00C235BB"/>
    <w:rsid w:val="00C235C5"/>
    <w:rsid w:val="00C23AF5"/>
    <w:rsid w:val="00C245E4"/>
    <w:rsid w:val="00C24C00"/>
    <w:rsid w:val="00C24F6C"/>
    <w:rsid w:val="00C24FEB"/>
    <w:rsid w:val="00C25360"/>
    <w:rsid w:val="00C25678"/>
    <w:rsid w:val="00C25889"/>
    <w:rsid w:val="00C25926"/>
    <w:rsid w:val="00C25CAB"/>
    <w:rsid w:val="00C25F85"/>
    <w:rsid w:val="00C2698A"/>
    <w:rsid w:val="00C26DAB"/>
    <w:rsid w:val="00C2793E"/>
    <w:rsid w:val="00C27E8B"/>
    <w:rsid w:val="00C30193"/>
    <w:rsid w:val="00C303A4"/>
    <w:rsid w:val="00C30B49"/>
    <w:rsid w:val="00C323D3"/>
    <w:rsid w:val="00C32E40"/>
    <w:rsid w:val="00C33877"/>
    <w:rsid w:val="00C33FC6"/>
    <w:rsid w:val="00C34425"/>
    <w:rsid w:val="00C34814"/>
    <w:rsid w:val="00C35720"/>
    <w:rsid w:val="00C3573C"/>
    <w:rsid w:val="00C35EF5"/>
    <w:rsid w:val="00C36321"/>
    <w:rsid w:val="00C36576"/>
    <w:rsid w:val="00C368C5"/>
    <w:rsid w:val="00C36907"/>
    <w:rsid w:val="00C37ED1"/>
    <w:rsid w:val="00C400AE"/>
    <w:rsid w:val="00C4035D"/>
    <w:rsid w:val="00C4049B"/>
    <w:rsid w:val="00C405EB"/>
    <w:rsid w:val="00C4085D"/>
    <w:rsid w:val="00C416BA"/>
    <w:rsid w:val="00C416FE"/>
    <w:rsid w:val="00C421B6"/>
    <w:rsid w:val="00C4259E"/>
    <w:rsid w:val="00C43506"/>
    <w:rsid w:val="00C43AC9"/>
    <w:rsid w:val="00C45297"/>
    <w:rsid w:val="00C456C3"/>
    <w:rsid w:val="00C457AE"/>
    <w:rsid w:val="00C46138"/>
    <w:rsid w:val="00C46835"/>
    <w:rsid w:val="00C471F4"/>
    <w:rsid w:val="00C47829"/>
    <w:rsid w:val="00C47B43"/>
    <w:rsid w:val="00C47F30"/>
    <w:rsid w:val="00C47FE0"/>
    <w:rsid w:val="00C500F8"/>
    <w:rsid w:val="00C507E8"/>
    <w:rsid w:val="00C50989"/>
    <w:rsid w:val="00C50E03"/>
    <w:rsid w:val="00C51064"/>
    <w:rsid w:val="00C513F3"/>
    <w:rsid w:val="00C517C3"/>
    <w:rsid w:val="00C51C35"/>
    <w:rsid w:val="00C5216E"/>
    <w:rsid w:val="00C53379"/>
    <w:rsid w:val="00C54113"/>
    <w:rsid w:val="00C541D8"/>
    <w:rsid w:val="00C543BC"/>
    <w:rsid w:val="00C54FF3"/>
    <w:rsid w:val="00C5615B"/>
    <w:rsid w:val="00C566BF"/>
    <w:rsid w:val="00C56C9D"/>
    <w:rsid w:val="00C57A82"/>
    <w:rsid w:val="00C6026D"/>
    <w:rsid w:val="00C60D99"/>
    <w:rsid w:val="00C6150D"/>
    <w:rsid w:val="00C61651"/>
    <w:rsid w:val="00C61EE3"/>
    <w:rsid w:val="00C62021"/>
    <w:rsid w:val="00C62298"/>
    <w:rsid w:val="00C6242F"/>
    <w:rsid w:val="00C625AA"/>
    <w:rsid w:val="00C62735"/>
    <w:rsid w:val="00C62CAF"/>
    <w:rsid w:val="00C63528"/>
    <w:rsid w:val="00C6394A"/>
    <w:rsid w:val="00C63973"/>
    <w:rsid w:val="00C63B65"/>
    <w:rsid w:val="00C63CD1"/>
    <w:rsid w:val="00C63DA2"/>
    <w:rsid w:val="00C65348"/>
    <w:rsid w:val="00C65AA8"/>
    <w:rsid w:val="00C65CA0"/>
    <w:rsid w:val="00C66399"/>
    <w:rsid w:val="00C66486"/>
    <w:rsid w:val="00C671C5"/>
    <w:rsid w:val="00C67204"/>
    <w:rsid w:val="00C6730E"/>
    <w:rsid w:val="00C67373"/>
    <w:rsid w:val="00C6753C"/>
    <w:rsid w:val="00C67622"/>
    <w:rsid w:val="00C7036D"/>
    <w:rsid w:val="00C705F6"/>
    <w:rsid w:val="00C707E6"/>
    <w:rsid w:val="00C709DC"/>
    <w:rsid w:val="00C71923"/>
    <w:rsid w:val="00C71D98"/>
    <w:rsid w:val="00C71FC7"/>
    <w:rsid w:val="00C721C3"/>
    <w:rsid w:val="00C72400"/>
    <w:rsid w:val="00C72418"/>
    <w:rsid w:val="00C72A3D"/>
    <w:rsid w:val="00C72EEC"/>
    <w:rsid w:val="00C73432"/>
    <w:rsid w:val="00C73D64"/>
    <w:rsid w:val="00C73EE4"/>
    <w:rsid w:val="00C747AA"/>
    <w:rsid w:val="00C747FA"/>
    <w:rsid w:val="00C74A87"/>
    <w:rsid w:val="00C74C8E"/>
    <w:rsid w:val="00C74D12"/>
    <w:rsid w:val="00C75481"/>
    <w:rsid w:val="00C75B3B"/>
    <w:rsid w:val="00C77033"/>
    <w:rsid w:val="00C77441"/>
    <w:rsid w:val="00C8011F"/>
    <w:rsid w:val="00C801B8"/>
    <w:rsid w:val="00C80558"/>
    <w:rsid w:val="00C80BAB"/>
    <w:rsid w:val="00C80C84"/>
    <w:rsid w:val="00C80D25"/>
    <w:rsid w:val="00C81A38"/>
    <w:rsid w:val="00C8221D"/>
    <w:rsid w:val="00C844ED"/>
    <w:rsid w:val="00C84986"/>
    <w:rsid w:val="00C84B11"/>
    <w:rsid w:val="00C85257"/>
    <w:rsid w:val="00C855A5"/>
    <w:rsid w:val="00C85609"/>
    <w:rsid w:val="00C86A13"/>
    <w:rsid w:val="00C86B48"/>
    <w:rsid w:val="00C9026E"/>
    <w:rsid w:val="00C90473"/>
    <w:rsid w:val="00C9090A"/>
    <w:rsid w:val="00C90918"/>
    <w:rsid w:val="00C909B5"/>
    <w:rsid w:val="00C91656"/>
    <w:rsid w:val="00C91661"/>
    <w:rsid w:val="00C920A7"/>
    <w:rsid w:val="00C9366C"/>
    <w:rsid w:val="00C938F3"/>
    <w:rsid w:val="00C9440E"/>
    <w:rsid w:val="00C94450"/>
    <w:rsid w:val="00C945E9"/>
    <w:rsid w:val="00C94EA6"/>
    <w:rsid w:val="00C94F48"/>
    <w:rsid w:val="00C9501B"/>
    <w:rsid w:val="00C95557"/>
    <w:rsid w:val="00C95997"/>
    <w:rsid w:val="00C964C4"/>
    <w:rsid w:val="00C96562"/>
    <w:rsid w:val="00C96A33"/>
    <w:rsid w:val="00C96F91"/>
    <w:rsid w:val="00C97984"/>
    <w:rsid w:val="00C97FF1"/>
    <w:rsid w:val="00CA1410"/>
    <w:rsid w:val="00CA23ED"/>
    <w:rsid w:val="00CA2418"/>
    <w:rsid w:val="00CA2729"/>
    <w:rsid w:val="00CA349F"/>
    <w:rsid w:val="00CA3B9D"/>
    <w:rsid w:val="00CA3BE0"/>
    <w:rsid w:val="00CA3BFD"/>
    <w:rsid w:val="00CA3CD8"/>
    <w:rsid w:val="00CA4DD4"/>
    <w:rsid w:val="00CA51FA"/>
    <w:rsid w:val="00CA5D1E"/>
    <w:rsid w:val="00CA653C"/>
    <w:rsid w:val="00CA65BD"/>
    <w:rsid w:val="00CA6B7D"/>
    <w:rsid w:val="00CA6DAA"/>
    <w:rsid w:val="00CA6F22"/>
    <w:rsid w:val="00CA705B"/>
    <w:rsid w:val="00CA7622"/>
    <w:rsid w:val="00CA76A1"/>
    <w:rsid w:val="00CA7C90"/>
    <w:rsid w:val="00CA7EA6"/>
    <w:rsid w:val="00CA7F5A"/>
    <w:rsid w:val="00CB0046"/>
    <w:rsid w:val="00CB00F7"/>
    <w:rsid w:val="00CB02D3"/>
    <w:rsid w:val="00CB0B0D"/>
    <w:rsid w:val="00CB1103"/>
    <w:rsid w:val="00CB161B"/>
    <w:rsid w:val="00CB1973"/>
    <w:rsid w:val="00CB1B83"/>
    <w:rsid w:val="00CB1B9C"/>
    <w:rsid w:val="00CB1D90"/>
    <w:rsid w:val="00CB2892"/>
    <w:rsid w:val="00CB5332"/>
    <w:rsid w:val="00CB5535"/>
    <w:rsid w:val="00CB6697"/>
    <w:rsid w:val="00CB6853"/>
    <w:rsid w:val="00CB7603"/>
    <w:rsid w:val="00CB788F"/>
    <w:rsid w:val="00CB7BD1"/>
    <w:rsid w:val="00CB7FE2"/>
    <w:rsid w:val="00CC0325"/>
    <w:rsid w:val="00CC0E03"/>
    <w:rsid w:val="00CC0F08"/>
    <w:rsid w:val="00CC1A32"/>
    <w:rsid w:val="00CC1E77"/>
    <w:rsid w:val="00CC264D"/>
    <w:rsid w:val="00CC2E14"/>
    <w:rsid w:val="00CC4734"/>
    <w:rsid w:val="00CC49C7"/>
    <w:rsid w:val="00CC4D06"/>
    <w:rsid w:val="00CC4D61"/>
    <w:rsid w:val="00CC51A5"/>
    <w:rsid w:val="00CC55BD"/>
    <w:rsid w:val="00CC60D4"/>
    <w:rsid w:val="00CC69A3"/>
    <w:rsid w:val="00CC746A"/>
    <w:rsid w:val="00CC7D69"/>
    <w:rsid w:val="00CD0202"/>
    <w:rsid w:val="00CD022B"/>
    <w:rsid w:val="00CD086E"/>
    <w:rsid w:val="00CD08E4"/>
    <w:rsid w:val="00CD0919"/>
    <w:rsid w:val="00CD098C"/>
    <w:rsid w:val="00CD0D20"/>
    <w:rsid w:val="00CD1DA5"/>
    <w:rsid w:val="00CD3095"/>
    <w:rsid w:val="00CD3917"/>
    <w:rsid w:val="00CD3B4C"/>
    <w:rsid w:val="00CD4C19"/>
    <w:rsid w:val="00CD4C8C"/>
    <w:rsid w:val="00CD6899"/>
    <w:rsid w:val="00CD7328"/>
    <w:rsid w:val="00CD7903"/>
    <w:rsid w:val="00CE0DCD"/>
    <w:rsid w:val="00CE12B1"/>
    <w:rsid w:val="00CE2072"/>
    <w:rsid w:val="00CE20D7"/>
    <w:rsid w:val="00CE2B7A"/>
    <w:rsid w:val="00CE3128"/>
    <w:rsid w:val="00CE31AB"/>
    <w:rsid w:val="00CE3289"/>
    <w:rsid w:val="00CE3302"/>
    <w:rsid w:val="00CE4A47"/>
    <w:rsid w:val="00CE5233"/>
    <w:rsid w:val="00CE53CA"/>
    <w:rsid w:val="00CE58F0"/>
    <w:rsid w:val="00CE5D56"/>
    <w:rsid w:val="00CE644E"/>
    <w:rsid w:val="00CE65CB"/>
    <w:rsid w:val="00CE66BB"/>
    <w:rsid w:val="00CE6E59"/>
    <w:rsid w:val="00CE77FF"/>
    <w:rsid w:val="00CE79C0"/>
    <w:rsid w:val="00CE7A16"/>
    <w:rsid w:val="00CE7B72"/>
    <w:rsid w:val="00CF014C"/>
    <w:rsid w:val="00CF04A2"/>
    <w:rsid w:val="00CF09BF"/>
    <w:rsid w:val="00CF0A9C"/>
    <w:rsid w:val="00CF12E5"/>
    <w:rsid w:val="00CF1409"/>
    <w:rsid w:val="00CF14BA"/>
    <w:rsid w:val="00CF219F"/>
    <w:rsid w:val="00CF23A8"/>
    <w:rsid w:val="00CF2C88"/>
    <w:rsid w:val="00CF3155"/>
    <w:rsid w:val="00CF466B"/>
    <w:rsid w:val="00CF522B"/>
    <w:rsid w:val="00CF52B0"/>
    <w:rsid w:val="00CF5D84"/>
    <w:rsid w:val="00CF5DED"/>
    <w:rsid w:val="00CF61F1"/>
    <w:rsid w:val="00CF62E8"/>
    <w:rsid w:val="00CF6955"/>
    <w:rsid w:val="00CF785B"/>
    <w:rsid w:val="00CF798D"/>
    <w:rsid w:val="00CF7B47"/>
    <w:rsid w:val="00CF7D0C"/>
    <w:rsid w:val="00D00569"/>
    <w:rsid w:val="00D02244"/>
    <w:rsid w:val="00D02396"/>
    <w:rsid w:val="00D023FA"/>
    <w:rsid w:val="00D02633"/>
    <w:rsid w:val="00D02FDC"/>
    <w:rsid w:val="00D038DE"/>
    <w:rsid w:val="00D03BC3"/>
    <w:rsid w:val="00D0474D"/>
    <w:rsid w:val="00D0554F"/>
    <w:rsid w:val="00D05E57"/>
    <w:rsid w:val="00D10005"/>
    <w:rsid w:val="00D118DB"/>
    <w:rsid w:val="00D11B4E"/>
    <w:rsid w:val="00D12049"/>
    <w:rsid w:val="00D1210D"/>
    <w:rsid w:val="00D12CCB"/>
    <w:rsid w:val="00D1360F"/>
    <w:rsid w:val="00D1382C"/>
    <w:rsid w:val="00D149E3"/>
    <w:rsid w:val="00D14C0F"/>
    <w:rsid w:val="00D14CEE"/>
    <w:rsid w:val="00D15922"/>
    <w:rsid w:val="00D161FC"/>
    <w:rsid w:val="00D167EF"/>
    <w:rsid w:val="00D16EC0"/>
    <w:rsid w:val="00D173EF"/>
    <w:rsid w:val="00D1740B"/>
    <w:rsid w:val="00D175D9"/>
    <w:rsid w:val="00D177C2"/>
    <w:rsid w:val="00D17C4E"/>
    <w:rsid w:val="00D17FED"/>
    <w:rsid w:val="00D20524"/>
    <w:rsid w:val="00D207FC"/>
    <w:rsid w:val="00D21036"/>
    <w:rsid w:val="00D213CC"/>
    <w:rsid w:val="00D21892"/>
    <w:rsid w:val="00D21AA9"/>
    <w:rsid w:val="00D2227C"/>
    <w:rsid w:val="00D227BF"/>
    <w:rsid w:val="00D228A8"/>
    <w:rsid w:val="00D229D2"/>
    <w:rsid w:val="00D23961"/>
    <w:rsid w:val="00D23A77"/>
    <w:rsid w:val="00D23E01"/>
    <w:rsid w:val="00D24F44"/>
    <w:rsid w:val="00D24FFE"/>
    <w:rsid w:val="00D25152"/>
    <w:rsid w:val="00D25EC8"/>
    <w:rsid w:val="00D266F0"/>
    <w:rsid w:val="00D2760E"/>
    <w:rsid w:val="00D27718"/>
    <w:rsid w:val="00D27A50"/>
    <w:rsid w:val="00D302C6"/>
    <w:rsid w:val="00D308AA"/>
    <w:rsid w:val="00D30DE9"/>
    <w:rsid w:val="00D31991"/>
    <w:rsid w:val="00D3261F"/>
    <w:rsid w:val="00D32CD6"/>
    <w:rsid w:val="00D3380F"/>
    <w:rsid w:val="00D33A86"/>
    <w:rsid w:val="00D34201"/>
    <w:rsid w:val="00D3465E"/>
    <w:rsid w:val="00D349D7"/>
    <w:rsid w:val="00D34C96"/>
    <w:rsid w:val="00D35F71"/>
    <w:rsid w:val="00D36512"/>
    <w:rsid w:val="00D36785"/>
    <w:rsid w:val="00D368E0"/>
    <w:rsid w:val="00D4009E"/>
    <w:rsid w:val="00D4063E"/>
    <w:rsid w:val="00D41959"/>
    <w:rsid w:val="00D42B0E"/>
    <w:rsid w:val="00D43A2B"/>
    <w:rsid w:val="00D44851"/>
    <w:rsid w:val="00D44AEC"/>
    <w:rsid w:val="00D456C2"/>
    <w:rsid w:val="00D45840"/>
    <w:rsid w:val="00D45A06"/>
    <w:rsid w:val="00D45EF1"/>
    <w:rsid w:val="00D46148"/>
    <w:rsid w:val="00D463EC"/>
    <w:rsid w:val="00D466E4"/>
    <w:rsid w:val="00D46FEE"/>
    <w:rsid w:val="00D501FC"/>
    <w:rsid w:val="00D5077A"/>
    <w:rsid w:val="00D51D31"/>
    <w:rsid w:val="00D520DE"/>
    <w:rsid w:val="00D52107"/>
    <w:rsid w:val="00D522BE"/>
    <w:rsid w:val="00D525D3"/>
    <w:rsid w:val="00D52CD7"/>
    <w:rsid w:val="00D533F4"/>
    <w:rsid w:val="00D538FF"/>
    <w:rsid w:val="00D53945"/>
    <w:rsid w:val="00D53E45"/>
    <w:rsid w:val="00D54021"/>
    <w:rsid w:val="00D54107"/>
    <w:rsid w:val="00D54220"/>
    <w:rsid w:val="00D5435F"/>
    <w:rsid w:val="00D545FC"/>
    <w:rsid w:val="00D54A94"/>
    <w:rsid w:val="00D54B72"/>
    <w:rsid w:val="00D551CC"/>
    <w:rsid w:val="00D559A8"/>
    <w:rsid w:val="00D55A13"/>
    <w:rsid w:val="00D55D78"/>
    <w:rsid w:val="00D560BE"/>
    <w:rsid w:val="00D57EE4"/>
    <w:rsid w:val="00D60494"/>
    <w:rsid w:val="00D60551"/>
    <w:rsid w:val="00D605EC"/>
    <w:rsid w:val="00D60692"/>
    <w:rsid w:val="00D60B98"/>
    <w:rsid w:val="00D60C6F"/>
    <w:rsid w:val="00D60F5B"/>
    <w:rsid w:val="00D61006"/>
    <w:rsid w:val="00D6191B"/>
    <w:rsid w:val="00D62233"/>
    <w:rsid w:val="00D6264A"/>
    <w:rsid w:val="00D62EEE"/>
    <w:rsid w:val="00D63008"/>
    <w:rsid w:val="00D635B6"/>
    <w:rsid w:val="00D639BB"/>
    <w:rsid w:val="00D63F87"/>
    <w:rsid w:val="00D64757"/>
    <w:rsid w:val="00D64EEF"/>
    <w:rsid w:val="00D65E64"/>
    <w:rsid w:val="00D660B5"/>
    <w:rsid w:val="00D66788"/>
    <w:rsid w:val="00D670D0"/>
    <w:rsid w:val="00D674D8"/>
    <w:rsid w:val="00D67F08"/>
    <w:rsid w:val="00D67F2A"/>
    <w:rsid w:val="00D70605"/>
    <w:rsid w:val="00D707C8"/>
    <w:rsid w:val="00D70C81"/>
    <w:rsid w:val="00D70F91"/>
    <w:rsid w:val="00D7117C"/>
    <w:rsid w:val="00D711EC"/>
    <w:rsid w:val="00D7149D"/>
    <w:rsid w:val="00D71796"/>
    <w:rsid w:val="00D7181F"/>
    <w:rsid w:val="00D71863"/>
    <w:rsid w:val="00D718F4"/>
    <w:rsid w:val="00D719FF"/>
    <w:rsid w:val="00D71B7A"/>
    <w:rsid w:val="00D71F89"/>
    <w:rsid w:val="00D7269A"/>
    <w:rsid w:val="00D72C7C"/>
    <w:rsid w:val="00D731F2"/>
    <w:rsid w:val="00D735B8"/>
    <w:rsid w:val="00D73EA7"/>
    <w:rsid w:val="00D74130"/>
    <w:rsid w:val="00D74D85"/>
    <w:rsid w:val="00D75069"/>
    <w:rsid w:val="00D7507F"/>
    <w:rsid w:val="00D75282"/>
    <w:rsid w:val="00D75335"/>
    <w:rsid w:val="00D7542A"/>
    <w:rsid w:val="00D75AFE"/>
    <w:rsid w:val="00D76719"/>
    <w:rsid w:val="00D77BF3"/>
    <w:rsid w:val="00D77EA0"/>
    <w:rsid w:val="00D80B6D"/>
    <w:rsid w:val="00D81005"/>
    <w:rsid w:val="00D813A2"/>
    <w:rsid w:val="00D8146E"/>
    <w:rsid w:val="00D81817"/>
    <w:rsid w:val="00D819FE"/>
    <w:rsid w:val="00D81B71"/>
    <w:rsid w:val="00D82283"/>
    <w:rsid w:val="00D836D7"/>
    <w:rsid w:val="00D837DE"/>
    <w:rsid w:val="00D83AC7"/>
    <w:rsid w:val="00D84041"/>
    <w:rsid w:val="00D841DA"/>
    <w:rsid w:val="00D8429C"/>
    <w:rsid w:val="00D849BB"/>
    <w:rsid w:val="00D84E0A"/>
    <w:rsid w:val="00D84FE7"/>
    <w:rsid w:val="00D85DA7"/>
    <w:rsid w:val="00D85EDE"/>
    <w:rsid w:val="00D86DE8"/>
    <w:rsid w:val="00D875B4"/>
    <w:rsid w:val="00D90A51"/>
    <w:rsid w:val="00D9138E"/>
    <w:rsid w:val="00D918AD"/>
    <w:rsid w:val="00D91D1D"/>
    <w:rsid w:val="00D91E2B"/>
    <w:rsid w:val="00D9216C"/>
    <w:rsid w:val="00D92BB8"/>
    <w:rsid w:val="00D92E0E"/>
    <w:rsid w:val="00D92F65"/>
    <w:rsid w:val="00D92FB2"/>
    <w:rsid w:val="00D9346B"/>
    <w:rsid w:val="00D9382F"/>
    <w:rsid w:val="00D93E37"/>
    <w:rsid w:val="00D94834"/>
    <w:rsid w:val="00D9549A"/>
    <w:rsid w:val="00D956A7"/>
    <w:rsid w:val="00D95840"/>
    <w:rsid w:val="00D95BD3"/>
    <w:rsid w:val="00D95C88"/>
    <w:rsid w:val="00D969DE"/>
    <w:rsid w:val="00D97198"/>
    <w:rsid w:val="00D97438"/>
    <w:rsid w:val="00D975DE"/>
    <w:rsid w:val="00D9760F"/>
    <w:rsid w:val="00DA096D"/>
    <w:rsid w:val="00DA0DC7"/>
    <w:rsid w:val="00DA0E8A"/>
    <w:rsid w:val="00DA140E"/>
    <w:rsid w:val="00DA1742"/>
    <w:rsid w:val="00DA1D51"/>
    <w:rsid w:val="00DA2037"/>
    <w:rsid w:val="00DA24F5"/>
    <w:rsid w:val="00DA35F8"/>
    <w:rsid w:val="00DA399B"/>
    <w:rsid w:val="00DA47B9"/>
    <w:rsid w:val="00DA4D4E"/>
    <w:rsid w:val="00DA4F74"/>
    <w:rsid w:val="00DA542E"/>
    <w:rsid w:val="00DA6114"/>
    <w:rsid w:val="00DA6863"/>
    <w:rsid w:val="00DA695B"/>
    <w:rsid w:val="00DA6F36"/>
    <w:rsid w:val="00DA70BC"/>
    <w:rsid w:val="00DB0275"/>
    <w:rsid w:val="00DB0A8F"/>
    <w:rsid w:val="00DB0CC7"/>
    <w:rsid w:val="00DB0F79"/>
    <w:rsid w:val="00DB0F91"/>
    <w:rsid w:val="00DB15B3"/>
    <w:rsid w:val="00DB1CEC"/>
    <w:rsid w:val="00DB233A"/>
    <w:rsid w:val="00DB23B5"/>
    <w:rsid w:val="00DB25BD"/>
    <w:rsid w:val="00DB2839"/>
    <w:rsid w:val="00DB28F0"/>
    <w:rsid w:val="00DB292F"/>
    <w:rsid w:val="00DB2CF9"/>
    <w:rsid w:val="00DB31E5"/>
    <w:rsid w:val="00DB3771"/>
    <w:rsid w:val="00DB3C8B"/>
    <w:rsid w:val="00DB3D5E"/>
    <w:rsid w:val="00DB421D"/>
    <w:rsid w:val="00DB44A9"/>
    <w:rsid w:val="00DB46D9"/>
    <w:rsid w:val="00DB489B"/>
    <w:rsid w:val="00DB48CB"/>
    <w:rsid w:val="00DB5027"/>
    <w:rsid w:val="00DB6289"/>
    <w:rsid w:val="00DB6BE8"/>
    <w:rsid w:val="00DB6C51"/>
    <w:rsid w:val="00DB79A0"/>
    <w:rsid w:val="00DC064E"/>
    <w:rsid w:val="00DC08AC"/>
    <w:rsid w:val="00DC1477"/>
    <w:rsid w:val="00DC192B"/>
    <w:rsid w:val="00DC2599"/>
    <w:rsid w:val="00DC28C7"/>
    <w:rsid w:val="00DC309D"/>
    <w:rsid w:val="00DC3143"/>
    <w:rsid w:val="00DC3211"/>
    <w:rsid w:val="00DC44BC"/>
    <w:rsid w:val="00DC4A13"/>
    <w:rsid w:val="00DC577C"/>
    <w:rsid w:val="00DC626F"/>
    <w:rsid w:val="00DC6718"/>
    <w:rsid w:val="00DC71AD"/>
    <w:rsid w:val="00DC7433"/>
    <w:rsid w:val="00DC778C"/>
    <w:rsid w:val="00DC790D"/>
    <w:rsid w:val="00DD039F"/>
    <w:rsid w:val="00DD03BE"/>
    <w:rsid w:val="00DD0A49"/>
    <w:rsid w:val="00DD1223"/>
    <w:rsid w:val="00DD18D0"/>
    <w:rsid w:val="00DD1D67"/>
    <w:rsid w:val="00DD1D8C"/>
    <w:rsid w:val="00DD2015"/>
    <w:rsid w:val="00DD2476"/>
    <w:rsid w:val="00DD2799"/>
    <w:rsid w:val="00DD3060"/>
    <w:rsid w:val="00DD3996"/>
    <w:rsid w:val="00DD3B8A"/>
    <w:rsid w:val="00DD4117"/>
    <w:rsid w:val="00DD512D"/>
    <w:rsid w:val="00DD51B7"/>
    <w:rsid w:val="00DD54A8"/>
    <w:rsid w:val="00DD5873"/>
    <w:rsid w:val="00DD6185"/>
    <w:rsid w:val="00DD623B"/>
    <w:rsid w:val="00DD6393"/>
    <w:rsid w:val="00DD6744"/>
    <w:rsid w:val="00DD698F"/>
    <w:rsid w:val="00DD7494"/>
    <w:rsid w:val="00DD7783"/>
    <w:rsid w:val="00DD798B"/>
    <w:rsid w:val="00DD7D2F"/>
    <w:rsid w:val="00DE00B3"/>
    <w:rsid w:val="00DE034E"/>
    <w:rsid w:val="00DE0FEA"/>
    <w:rsid w:val="00DE219F"/>
    <w:rsid w:val="00DE2E94"/>
    <w:rsid w:val="00DE3010"/>
    <w:rsid w:val="00DE31DF"/>
    <w:rsid w:val="00DE32E2"/>
    <w:rsid w:val="00DE3794"/>
    <w:rsid w:val="00DE3906"/>
    <w:rsid w:val="00DE3CA5"/>
    <w:rsid w:val="00DE43A1"/>
    <w:rsid w:val="00DE4A70"/>
    <w:rsid w:val="00DE5027"/>
    <w:rsid w:val="00DE55A0"/>
    <w:rsid w:val="00DE594F"/>
    <w:rsid w:val="00DE59FD"/>
    <w:rsid w:val="00DE5F1C"/>
    <w:rsid w:val="00DE634F"/>
    <w:rsid w:val="00DF002A"/>
    <w:rsid w:val="00DF0169"/>
    <w:rsid w:val="00DF0286"/>
    <w:rsid w:val="00DF07BD"/>
    <w:rsid w:val="00DF0A5D"/>
    <w:rsid w:val="00DF0A64"/>
    <w:rsid w:val="00DF0F6E"/>
    <w:rsid w:val="00DF13AA"/>
    <w:rsid w:val="00DF14B7"/>
    <w:rsid w:val="00DF196E"/>
    <w:rsid w:val="00DF213C"/>
    <w:rsid w:val="00DF2634"/>
    <w:rsid w:val="00DF3157"/>
    <w:rsid w:val="00DF3820"/>
    <w:rsid w:val="00DF44EA"/>
    <w:rsid w:val="00DF62CA"/>
    <w:rsid w:val="00DF64AF"/>
    <w:rsid w:val="00DF6972"/>
    <w:rsid w:val="00DF7AEE"/>
    <w:rsid w:val="00E0024E"/>
    <w:rsid w:val="00E00E38"/>
    <w:rsid w:val="00E00F49"/>
    <w:rsid w:val="00E01E37"/>
    <w:rsid w:val="00E0229C"/>
    <w:rsid w:val="00E02BA7"/>
    <w:rsid w:val="00E03E6B"/>
    <w:rsid w:val="00E043A5"/>
    <w:rsid w:val="00E04431"/>
    <w:rsid w:val="00E04630"/>
    <w:rsid w:val="00E046A1"/>
    <w:rsid w:val="00E04746"/>
    <w:rsid w:val="00E04806"/>
    <w:rsid w:val="00E04D5E"/>
    <w:rsid w:val="00E04ECB"/>
    <w:rsid w:val="00E057D9"/>
    <w:rsid w:val="00E05F17"/>
    <w:rsid w:val="00E0666A"/>
    <w:rsid w:val="00E074C5"/>
    <w:rsid w:val="00E078A2"/>
    <w:rsid w:val="00E07DD8"/>
    <w:rsid w:val="00E1072F"/>
    <w:rsid w:val="00E11362"/>
    <w:rsid w:val="00E117F5"/>
    <w:rsid w:val="00E12032"/>
    <w:rsid w:val="00E12216"/>
    <w:rsid w:val="00E12256"/>
    <w:rsid w:val="00E12B11"/>
    <w:rsid w:val="00E13364"/>
    <w:rsid w:val="00E136AE"/>
    <w:rsid w:val="00E150B5"/>
    <w:rsid w:val="00E1514F"/>
    <w:rsid w:val="00E15350"/>
    <w:rsid w:val="00E1581B"/>
    <w:rsid w:val="00E164B0"/>
    <w:rsid w:val="00E1783F"/>
    <w:rsid w:val="00E17878"/>
    <w:rsid w:val="00E20212"/>
    <w:rsid w:val="00E2024B"/>
    <w:rsid w:val="00E20E8F"/>
    <w:rsid w:val="00E21B24"/>
    <w:rsid w:val="00E2223A"/>
    <w:rsid w:val="00E22490"/>
    <w:rsid w:val="00E23BB9"/>
    <w:rsid w:val="00E23D6D"/>
    <w:rsid w:val="00E24310"/>
    <w:rsid w:val="00E24731"/>
    <w:rsid w:val="00E24D5B"/>
    <w:rsid w:val="00E24F83"/>
    <w:rsid w:val="00E24F9C"/>
    <w:rsid w:val="00E2505B"/>
    <w:rsid w:val="00E25556"/>
    <w:rsid w:val="00E259A2"/>
    <w:rsid w:val="00E26019"/>
    <w:rsid w:val="00E261E8"/>
    <w:rsid w:val="00E263DD"/>
    <w:rsid w:val="00E27DE6"/>
    <w:rsid w:val="00E306C3"/>
    <w:rsid w:val="00E31719"/>
    <w:rsid w:val="00E318D0"/>
    <w:rsid w:val="00E32C80"/>
    <w:rsid w:val="00E32D39"/>
    <w:rsid w:val="00E33831"/>
    <w:rsid w:val="00E338EB"/>
    <w:rsid w:val="00E33A62"/>
    <w:rsid w:val="00E33D95"/>
    <w:rsid w:val="00E342E8"/>
    <w:rsid w:val="00E343FD"/>
    <w:rsid w:val="00E34B46"/>
    <w:rsid w:val="00E34E89"/>
    <w:rsid w:val="00E34FE4"/>
    <w:rsid w:val="00E35DBF"/>
    <w:rsid w:val="00E360EB"/>
    <w:rsid w:val="00E361CA"/>
    <w:rsid w:val="00E36E5C"/>
    <w:rsid w:val="00E376FF"/>
    <w:rsid w:val="00E37959"/>
    <w:rsid w:val="00E37A51"/>
    <w:rsid w:val="00E4099A"/>
    <w:rsid w:val="00E40AF1"/>
    <w:rsid w:val="00E40D5F"/>
    <w:rsid w:val="00E41476"/>
    <w:rsid w:val="00E41D82"/>
    <w:rsid w:val="00E421D7"/>
    <w:rsid w:val="00E42425"/>
    <w:rsid w:val="00E43743"/>
    <w:rsid w:val="00E44259"/>
    <w:rsid w:val="00E4460A"/>
    <w:rsid w:val="00E4467D"/>
    <w:rsid w:val="00E44D4B"/>
    <w:rsid w:val="00E44FE9"/>
    <w:rsid w:val="00E45780"/>
    <w:rsid w:val="00E457B6"/>
    <w:rsid w:val="00E45974"/>
    <w:rsid w:val="00E45A20"/>
    <w:rsid w:val="00E45E76"/>
    <w:rsid w:val="00E4680D"/>
    <w:rsid w:val="00E46C41"/>
    <w:rsid w:val="00E4742B"/>
    <w:rsid w:val="00E5043E"/>
    <w:rsid w:val="00E51342"/>
    <w:rsid w:val="00E52028"/>
    <w:rsid w:val="00E5304B"/>
    <w:rsid w:val="00E53504"/>
    <w:rsid w:val="00E53AC6"/>
    <w:rsid w:val="00E54102"/>
    <w:rsid w:val="00E54B51"/>
    <w:rsid w:val="00E54E4D"/>
    <w:rsid w:val="00E56FCD"/>
    <w:rsid w:val="00E5731F"/>
    <w:rsid w:val="00E57F90"/>
    <w:rsid w:val="00E60694"/>
    <w:rsid w:val="00E60836"/>
    <w:rsid w:val="00E60A35"/>
    <w:rsid w:val="00E61C79"/>
    <w:rsid w:val="00E61F57"/>
    <w:rsid w:val="00E621D9"/>
    <w:rsid w:val="00E623EB"/>
    <w:rsid w:val="00E62EC4"/>
    <w:rsid w:val="00E63639"/>
    <w:rsid w:val="00E6365E"/>
    <w:rsid w:val="00E64CD3"/>
    <w:rsid w:val="00E65722"/>
    <w:rsid w:val="00E66371"/>
    <w:rsid w:val="00E67141"/>
    <w:rsid w:val="00E674EB"/>
    <w:rsid w:val="00E7000E"/>
    <w:rsid w:val="00E701EA"/>
    <w:rsid w:val="00E70C96"/>
    <w:rsid w:val="00E714B1"/>
    <w:rsid w:val="00E7152A"/>
    <w:rsid w:val="00E71945"/>
    <w:rsid w:val="00E71B00"/>
    <w:rsid w:val="00E723DA"/>
    <w:rsid w:val="00E72706"/>
    <w:rsid w:val="00E7273A"/>
    <w:rsid w:val="00E72A1F"/>
    <w:rsid w:val="00E73F0E"/>
    <w:rsid w:val="00E743E4"/>
    <w:rsid w:val="00E7458F"/>
    <w:rsid w:val="00E753DA"/>
    <w:rsid w:val="00E765B8"/>
    <w:rsid w:val="00E76AFD"/>
    <w:rsid w:val="00E76B61"/>
    <w:rsid w:val="00E76C4D"/>
    <w:rsid w:val="00E76E73"/>
    <w:rsid w:val="00E77622"/>
    <w:rsid w:val="00E77978"/>
    <w:rsid w:val="00E77D6D"/>
    <w:rsid w:val="00E77DF6"/>
    <w:rsid w:val="00E805F1"/>
    <w:rsid w:val="00E809A6"/>
    <w:rsid w:val="00E80D86"/>
    <w:rsid w:val="00E8127E"/>
    <w:rsid w:val="00E819DA"/>
    <w:rsid w:val="00E81C27"/>
    <w:rsid w:val="00E8222E"/>
    <w:rsid w:val="00E822C0"/>
    <w:rsid w:val="00E825B9"/>
    <w:rsid w:val="00E829A9"/>
    <w:rsid w:val="00E82B31"/>
    <w:rsid w:val="00E8312F"/>
    <w:rsid w:val="00E831DB"/>
    <w:rsid w:val="00E83F86"/>
    <w:rsid w:val="00E8429A"/>
    <w:rsid w:val="00E84759"/>
    <w:rsid w:val="00E8583B"/>
    <w:rsid w:val="00E85DED"/>
    <w:rsid w:val="00E869B8"/>
    <w:rsid w:val="00E870C4"/>
    <w:rsid w:val="00E874CB"/>
    <w:rsid w:val="00E87F19"/>
    <w:rsid w:val="00E90584"/>
    <w:rsid w:val="00E907D5"/>
    <w:rsid w:val="00E90BEA"/>
    <w:rsid w:val="00E91B98"/>
    <w:rsid w:val="00E92574"/>
    <w:rsid w:val="00E93628"/>
    <w:rsid w:val="00E939FA"/>
    <w:rsid w:val="00E94076"/>
    <w:rsid w:val="00E94127"/>
    <w:rsid w:val="00E95035"/>
    <w:rsid w:val="00E95692"/>
    <w:rsid w:val="00E95D77"/>
    <w:rsid w:val="00E96156"/>
    <w:rsid w:val="00E96785"/>
    <w:rsid w:val="00EA00D1"/>
    <w:rsid w:val="00EA0104"/>
    <w:rsid w:val="00EA0B89"/>
    <w:rsid w:val="00EA10D3"/>
    <w:rsid w:val="00EA1A9D"/>
    <w:rsid w:val="00EA1D6C"/>
    <w:rsid w:val="00EA1F17"/>
    <w:rsid w:val="00EA29B4"/>
    <w:rsid w:val="00EA3768"/>
    <w:rsid w:val="00EA41D1"/>
    <w:rsid w:val="00EA4A3D"/>
    <w:rsid w:val="00EA5031"/>
    <w:rsid w:val="00EA5295"/>
    <w:rsid w:val="00EA53BC"/>
    <w:rsid w:val="00EA552D"/>
    <w:rsid w:val="00EA5674"/>
    <w:rsid w:val="00EA569B"/>
    <w:rsid w:val="00EA5CB5"/>
    <w:rsid w:val="00EA5DCD"/>
    <w:rsid w:val="00EA5E58"/>
    <w:rsid w:val="00EA66D5"/>
    <w:rsid w:val="00EA7099"/>
    <w:rsid w:val="00EA78CF"/>
    <w:rsid w:val="00EA791E"/>
    <w:rsid w:val="00EA7E6C"/>
    <w:rsid w:val="00EB093F"/>
    <w:rsid w:val="00EB09CC"/>
    <w:rsid w:val="00EB0D7E"/>
    <w:rsid w:val="00EB0FBF"/>
    <w:rsid w:val="00EB13D2"/>
    <w:rsid w:val="00EB1449"/>
    <w:rsid w:val="00EB1DA1"/>
    <w:rsid w:val="00EB1DB0"/>
    <w:rsid w:val="00EB21A3"/>
    <w:rsid w:val="00EB23D7"/>
    <w:rsid w:val="00EB4C41"/>
    <w:rsid w:val="00EB539B"/>
    <w:rsid w:val="00EB5776"/>
    <w:rsid w:val="00EB5978"/>
    <w:rsid w:val="00EB6589"/>
    <w:rsid w:val="00EC1A75"/>
    <w:rsid w:val="00EC1BCB"/>
    <w:rsid w:val="00EC1D15"/>
    <w:rsid w:val="00EC2304"/>
    <w:rsid w:val="00EC2994"/>
    <w:rsid w:val="00EC382A"/>
    <w:rsid w:val="00EC3A44"/>
    <w:rsid w:val="00EC4043"/>
    <w:rsid w:val="00EC47E6"/>
    <w:rsid w:val="00EC487B"/>
    <w:rsid w:val="00EC57DB"/>
    <w:rsid w:val="00EC5D1F"/>
    <w:rsid w:val="00EC63BC"/>
    <w:rsid w:val="00EC69B1"/>
    <w:rsid w:val="00EC6A41"/>
    <w:rsid w:val="00EC6D4A"/>
    <w:rsid w:val="00EC7CD1"/>
    <w:rsid w:val="00ED0790"/>
    <w:rsid w:val="00ED0EC2"/>
    <w:rsid w:val="00ED148F"/>
    <w:rsid w:val="00ED24F7"/>
    <w:rsid w:val="00ED25E8"/>
    <w:rsid w:val="00ED25FD"/>
    <w:rsid w:val="00ED2929"/>
    <w:rsid w:val="00ED2BFC"/>
    <w:rsid w:val="00ED36F6"/>
    <w:rsid w:val="00ED451A"/>
    <w:rsid w:val="00ED47B1"/>
    <w:rsid w:val="00ED51A0"/>
    <w:rsid w:val="00ED5BEB"/>
    <w:rsid w:val="00ED5C15"/>
    <w:rsid w:val="00ED6359"/>
    <w:rsid w:val="00ED63BF"/>
    <w:rsid w:val="00ED68E6"/>
    <w:rsid w:val="00ED7A7B"/>
    <w:rsid w:val="00ED7AC2"/>
    <w:rsid w:val="00ED7AD5"/>
    <w:rsid w:val="00ED7DCA"/>
    <w:rsid w:val="00ED7F8A"/>
    <w:rsid w:val="00EE0202"/>
    <w:rsid w:val="00EE0247"/>
    <w:rsid w:val="00EE02AB"/>
    <w:rsid w:val="00EE0A32"/>
    <w:rsid w:val="00EE0ECF"/>
    <w:rsid w:val="00EE10A0"/>
    <w:rsid w:val="00EE1925"/>
    <w:rsid w:val="00EE209C"/>
    <w:rsid w:val="00EE21A7"/>
    <w:rsid w:val="00EE27B8"/>
    <w:rsid w:val="00EE2A76"/>
    <w:rsid w:val="00EE2EED"/>
    <w:rsid w:val="00EE38AD"/>
    <w:rsid w:val="00EE3BA8"/>
    <w:rsid w:val="00EE3C8B"/>
    <w:rsid w:val="00EE3FBA"/>
    <w:rsid w:val="00EE4BAA"/>
    <w:rsid w:val="00EE5276"/>
    <w:rsid w:val="00EE5278"/>
    <w:rsid w:val="00EE5AE9"/>
    <w:rsid w:val="00EE5E7B"/>
    <w:rsid w:val="00EE7A09"/>
    <w:rsid w:val="00EF0D48"/>
    <w:rsid w:val="00EF0DE3"/>
    <w:rsid w:val="00EF1381"/>
    <w:rsid w:val="00EF186C"/>
    <w:rsid w:val="00EF215B"/>
    <w:rsid w:val="00EF2EA7"/>
    <w:rsid w:val="00EF2EFB"/>
    <w:rsid w:val="00EF3492"/>
    <w:rsid w:val="00EF3619"/>
    <w:rsid w:val="00EF36D7"/>
    <w:rsid w:val="00EF3970"/>
    <w:rsid w:val="00EF42E2"/>
    <w:rsid w:val="00EF4C2E"/>
    <w:rsid w:val="00EF60AA"/>
    <w:rsid w:val="00EF61A7"/>
    <w:rsid w:val="00EF6BEE"/>
    <w:rsid w:val="00EF7307"/>
    <w:rsid w:val="00F009B7"/>
    <w:rsid w:val="00F01902"/>
    <w:rsid w:val="00F02203"/>
    <w:rsid w:val="00F02240"/>
    <w:rsid w:val="00F02D47"/>
    <w:rsid w:val="00F03BF5"/>
    <w:rsid w:val="00F03D87"/>
    <w:rsid w:val="00F041D9"/>
    <w:rsid w:val="00F04881"/>
    <w:rsid w:val="00F0500D"/>
    <w:rsid w:val="00F05016"/>
    <w:rsid w:val="00F050E8"/>
    <w:rsid w:val="00F055C0"/>
    <w:rsid w:val="00F055E1"/>
    <w:rsid w:val="00F05AD5"/>
    <w:rsid w:val="00F05FA0"/>
    <w:rsid w:val="00F06208"/>
    <w:rsid w:val="00F06E3D"/>
    <w:rsid w:val="00F0702A"/>
    <w:rsid w:val="00F075A7"/>
    <w:rsid w:val="00F07955"/>
    <w:rsid w:val="00F10867"/>
    <w:rsid w:val="00F11881"/>
    <w:rsid w:val="00F118B2"/>
    <w:rsid w:val="00F11C9B"/>
    <w:rsid w:val="00F120E9"/>
    <w:rsid w:val="00F122AA"/>
    <w:rsid w:val="00F12EE9"/>
    <w:rsid w:val="00F13223"/>
    <w:rsid w:val="00F1367B"/>
    <w:rsid w:val="00F148DC"/>
    <w:rsid w:val="00F148FE"/>
    <w:rsid w:val="00F14F01"/>
    <w:rsid w:val="00F15009"/>
    <w:rsid w:val="00F15300"/>
    <w:rsid w:val="00F1572D"/>
    <w:rsid w:val="00F15901"/>
    <w:rsid w:val="00F1650C"/>
    <w:rsid w:val="00F1655E"/>
    <w:rsid w:val="00F1690D"/>
    <w:rsid w:val="00F16A7B"/>
    <w:rsid w:val="00F16DE2"/>
    <w:rsid w:val="00F16F41"/>
    <w:rsid w:val="00F16F4E"/>
    <w:rsid w:val="00F16FB9"/>
    <w:rsid w:val="00F17210"/>
    <w:rsid w:val="00F179C8"/>
    <w:rsid w:val="00F17A19"/>
    <w:rsid w:val="00F20F8F"/>
    <w:rsid w:val="00F218B8"/>
    <w:rsid w:val="00F2243D"/>
    <w:rsid w:val="00F227AF"/>
    <w:rsid w:val="00F22F37"/>
    <w:rsid w:val="00F23575"/>
    <w:rsid w:val="00F23741"/>
    <w:rsid w:val="00F23D29"/>
    <w:rsid w:val="00F24328"/>
    <w:rsid w:val="00F24936"/>
    <w:rsid w:val="00F25286"/>
    <w:rsid w:val="00F2549A"/>
    <w:rsid w:val="00F25C22"/>
    <w:rsid w:val="00F26470"/>
    <w:rsid w:val="00F2660F"/>
    <w:rsid w:val="00F26E3E"/>
    <w:rsid w:val="00F30444"/>
    <w:rsid w:val="00F30FA2"/>
    <w:rsid w:val="00F313FB"/>
    <w:rsid w:val="00F32039"/>
    <w:rsid w:val="00F328C1"/>
    <w:rsid w:val="00F3297B"/>
    <w:rsid w:val="00F32B6C"/>
    <w:rsid w:val="00F32D5A"/>
    <w:rsid w:val="00F3311D"/>
    <w:rsid w:val="00F334A3"/>
    <w:rsid w:val="00F334B0"/>
    <w:rsid w:val="00F337B2"/>
    <w:rsid w:val="00F33C79"/>
    <w:rsid w:val="00F340BF"/>
    <w:rsid w:val="00F34A46"/>
    <w:rsid w:val="00F35AF2"/>
    <w:rsid w:val="00F35C53"/>
    <w:rsid w:val="00F35C70"/>
    <w:rsid w:val="00F36A8B"/>
    <w:rsid w:val="00F374CB"/>
    <w:rsid w:val="00F37C93"/>
    <w:rsid w:val="00F37ED2"/>
    <w:rsid w:val="00F40BD6"/>
    <w:rsid w:val="00F41020"/>
    <w:rsid w:val="00F412F2"/>
    <w:rsid w:val="00F41786"/>
    <w:rsid w:val="00F419C9"/>
    <w:rsid w:val="00F41B76"/>
    <w:rsid w:val="00F41E48"/>
    <w:rsid w:val="00F424A0"/>
    <w:rsid w:val="00F42D89"/>
    <w:rsid w:val="00F435F9"/>
    <w:rsid w:val="00F4364A"/>
    <w:rsid w:val="00F4365B"/>
    <w:rsid w:val="00F436A5"/>
    <w:rsid w:val="00F43AEA"/>
    <w:rsid w:val="00F43D7A"/>
    <w:rsid w:val="00F43FAC"/>
    <w:rsid w:val="00F440F4"/>
    <w:rsid w:val="00F44DEB"/>
    <w:rsid w:val="00F45722"/>
    <w:rsid w:val="00F45C20"/>
    <w:rsid w:val="00F468C6"/>
    <w:rsid w:val="00F46914"/>
    <w:rsid w:val="00F46AEE"/>
    <w:rsid w:val="00F471B1"/>
    <w:rsid w:val="00F47452"/>
    <w:rsid w:val="00F47686"/>
    <w:rsid w:val="00F477A7"/>
    <w:rsid w:val="00F47846"/>
    <w:rsid w:val="00F500E7"/>
    <w:rsid w:val="00F50B19"/>
    <w:rsid w:val="00F515A9"/>
    <w:rsid w:val="00F521CB"/>
    <w:rsid w:val="00F52AA3"/>
    <w:rsid w:val="00F53019"/>
    <w:rsid w:val="00F53103"/>
    <w:rsid w:val="00F531A5"/>
    <w:rsid w:val="00F535A0"/>
    <w:rsid w:val="00F53A2D"/>
    <w:rsid w:val="00F5435C"/>
    <w:rsid w:val="00F5441D"/>
    <w:rsid w:val="00F547E6"/>
    <w:rsid w:val="00F54A8F"/>
    <w:rsid w:val="00F555FD"/>
    <w:rsid w:val="00F55A8A"/>
    <w:rsid w:val="00F55D4E"/>
    <w:rsid w:val="00F55D5C"/>
    <w:rsid w:val="00F563FD"/>
    <w:rsid w:val="00F56C10"/>
    <w:rsid w:val="00F60676"/>
    <w:rsid w:val="00F60800"/>
    <w:rsid w:val="00F611C5"/>
    <w:rsid w:val="00F616B4"/>
    <w:rsid w:val="00F61895"/>
    <w:rsid w:val="00F61B42"/>
    <w:rsid w:val="00F61BE2"/>
    <w:rsid w:val="00F6229C"/>
    <w:rsid w:val="00F627C6"/>
    <w:rsid w:val="00F62A19"/>
    <w:rsid w:val="00F62BBE"/>
    <w:rsid w:val="00F63489"/>
    <w:rsid w:val="00F646B7"/>
    <w:rsid w:val="00F64D11"/>
    <w:rsid w:val="00F64E22"/>
    <w:rsid w:val="00F64E24"/>
    <w:rsid w:val="00F6504E"/>
    <w:rsid w:val="00F653FE"/>
    <w:rsid w:val="00F65481"/>
    <w:rsid w:val="00F65CAD"/>
    <w:rsid w:val="00F67143"/>
    <w:rsid w:val="00F67682"/>
    <w:rsid w:val="00F70143"/>
    <w:rsid w:val="00F7072A"/>
    <w:rsid w:val="00F70D21"/>
    <w:rsid w:val="00F711D1"/>
    <w:rsid w:val="00F71A51"/>
    <w:rsid w:val="00F72150"/>
    <w:rsid w:val="00F72197"/>
    <w:rsid w:val="00F72762"/>
    <w:rsid w:val="00F72EFA"/>
    <w:rsid w:val="00F74B8C"/>
    <w:rsid w:val="00F74F07"/>
    <w:rsid w:val="00F750AD"/>
    <w:rsid w:val="00F75438"/>
    <w:rsid w:val="00F7582A"/>
    <w:rsid w:val="00F758FB"/>
    <w:rsid w:val="00F75A09"/>
    <w:rsid w:val="00F75A7C"/>
    <w:rsid w:val="00F75D1C"/>
    <w:rsid w:val="00F75E01"/>
    <w:rsid w:val="00F764C6"/>
    <w:rsid w:val="00F76CF3"/>
    <w:rsid w:val="00F76E46"/>
    <w:rsid w:val="00F76EB7"/>
    <w:rsid w:val="00F76F04"/>
    <w:rsid w:val="00F77226"/>
    <w:rsid w:val="00F7761D"/>
    <w:rsid w:val="00F7787F"/>
    <w:rsid w:val="00F77F08"/>
    <w:rsid w:val="00F80731"/>
    <w:rsid w:val="00F8083B"/>
    <w:rsid w:val="00F8106B"/>
    <w:rsid w:val="00F8106D"/>
    <w:rsid w:val="00F81927"/>
    <w:rsid w:val="00F824DE"/>
    <w:rsid w:val="00F82598"/>
    <w:rsid w:val="00F825AD"/>
    <w:rsid w:val="00F82971"/>
    <w:rsid w:val="00F832DA"/>
    <w:rsid w:val="00F835A4"/>
    <w:rsid w:val="00F84149"/>
    <w:rsid w:val="00F8423D"/>
    <w:rsid w:val="00F843FA"/>
    <w:rsid w:val="00F8499D"/>
    <w:rsid w:val="00F84A54"/>
    <w:rsid w:val="00F85BA5"/>
    <w:rsid w:val="00F86443"/>
    <w:rsid w:val="00F8674D"/>
    <w:rsid w:val="00F86A20"/>
    <w:rsid w:val="00F8766E"/>
    <w:rsid w:val="00F8778C"/>
    <w:rsid w:val="00F902B3"/>
    <w:rsid w:val="00F91249"/>
    <w:rsid w:val="00F913B7"/>
    <w:rsid w:val="00F91AA8"/>
    <w:rsid w:val="00F91E3E"/>
    <w:rsid w:val="00F92352"/>
    <w:rsid w:val="00F92BB8"/>
    <w:rsid w:val="00F92CA6"/>
    <w:rsid w:val="00F93AE1"/>
    <w:rsid w:val="00F93B86"/>
    <w:rsid w:val="00F93EE3"/>
    <w:rsid w:val="00F94A8B"/>
    <w:rsid w:val="00F9503A"/>
    <w:rsid w:val="00F95347"/>
    <w:rsid w:val="00F953F5"/>
    <w:rsid w:val="00F957B6"/>
    <w:rsid w:val="00F95892"/>
    <w:rsid w:val="00F959F9"/>
    <w:rsid w:val="00F9624E"/>
    <w:rsid w:val="00F96767"/>
    <w:rsid w:val="00F973E1"/>
    <w:rsid w:val="00F975BB"/>
    <w:rsid w:val="00F97BBB"/>
    <w:rsid w:val="00FA0F05"/>
    <w:rsid w:val="00FA0F9A"/>
    <w:rsid w:val="00FA17C3"/>
    <w:rsid w:val="00FA1A8A"/>
    <w:rsid w:val="00FA26D1"/>
    <w:rsid w:val="00FA26F9"/>
    <w:rsid w:val="00FA32B6"/>
    <w:rsid w:val="00FA3C89"/>
    <w:rsid w:val="00FA3E53"/>
    <w:rsid w:val="00FA3E57"/>
    <w:rsid w:val="00FA5010"/>
    <w:rsid w:val="00FA557A"/>
    <w:rsid w:val="00FA5C87"/>
    <w:rsid w:val="00FA5CF8"/>
    <w:rsid w:val="00FA619F"/>
    <w:rsid w:val="00FA682A"/>
    <w:rsid w:val="00FA694C"/>
    <w:rsid w:val="00FA6F50"/>
    <w:rsid w:val="00FA7955"/>
    <w:rsid w:val="00FB015B"/>
    <w:rsid w:val="00FB0B3E"/>
    <w:rsid w:val="00FB0D63"/>
    <w:rsid w:val="00FB2806"/>
    <w:rsid w:val="00FB2F4F"/>
    <w:rsid w:val="00FB4B1C"/>
    <w:rsid w:val="00FB5E88"/>
    <w:rsid w:val="00FB6582"/>
    <w:rsid w:val="00FB7B48"/>
    <w:rsid w:val="00FB7FD5"/>
    <w:rsid w:val="00FC005A"/>
    <w:rsid w:val="00FC03B5"/>
    <w:rsid w:val="00FC091B"/>
    <w:rsid w:val="00FC0B65"/>
    <w:rsid w:val="00FC14EC"/>
    <w:rsid w:val="00FC1C3B"/>
    <w:rsid w:val="00FC207A"/>
    <w:rsid w:val="00FC225C"/>
    <w:rsid w:val="00FC257A"/>
    <w:rsid w:val="00FC364F"/>
    <w:rsid w:val="00FC390B"/>
    <w:rsid w:val="00FC3986"/>
    <w:rsid w:val="00FC4065"/>
    <w:rsid w:val="00FC4C03"/>
    <w:rsid w:val="00FC4FF1"/>
    <w:rsid w:val="00FC50BC"/>
    <w:rsid w:val="00FC565B"/>
    <w:rsid w:val="00FC587F"/>
    <w:rsid w:val="00FC68B6"/>
    <w:rsid w:val="00FC6BC9"/>
    <w:rsid w:val="00FC6F59"/>
    <w:rsid w:val="00FC70C8"/>
    <w:rsid w:val="00FC7F56"/>
    <w:rsid w:val="00FD0CEF"/>
    <w:rsid w:val="00FD1FFB"/>
    <w:rsid w:val="00FD205F"/>
    <w:rsid w:val="00FD2465"/>
    <w:rsid w:val="00FD2EB6"/>
    <w:rsid w:val="00FD3DE2"/>
    <w:rsid w:val="00FD47F6"/>
    <w:rsid w:val="00FD4BFE"/>
    <w:rsid w:val="00FD5490"/>
    <w:rsid w:val="00FD586E"/>
    <w:rsid w:val="00FD5B66"/>
    <w:rsid w:val="00FD60A1"/>
    <w:rsid w:val="00FD6574"/>
    <w:rsid w:val="00FD7306"/>
    <w:rsid w:val="00FD7314"/>
    <w:rsid w:val="00FD73FB"/>
    <w:rsid w:val="00FD7D84"/>
    <w:rsid w:val="00FE10AE"/>
    <w:rsid w:val="00FE1765"/>
    <w:rsid w:val="00FE1A2E"/>
    <w:rsid w:val="00FE34D9"/>
    <w:rsid w:val="00FE362B"/>
    <w:rsid w:val="00FE3D5C"/>
    <w:rsid w:val="00FE3F74"/>
    <w:rsid w:val="00FE4633"/>
    <w:rsid w:val="00FE4806"/>
    <w:rsid w:val="00FE527B"/>
    <w:rsid w:val="00FE60E2"/>
    <w:rsid w:val="00FE64A9"/>
    <w:rsid w:val="00FE6603"/>
    <w:rsid w:val="00FE6AE3"/>
    <w:rsid w:val="00FE6D3C"/>
    <w:rsid w:val="00FE740C"/>
    <w:rsid w:val="00FE762C"/>
    <w:rsid w:val="00FE7B27"/>
    <w:rsid w:val="00FE7CF1"/>
    <w:rsid w:val="00FF003A"/>
    <w:rsid w:val="00FF061D"/>
    <w:rsid w:val="00FF0743"/>
    <w:rsid w:val="00FF0BB5"/>
    <w:rsid w:val="00FF0D3D"/>
    <w:rsid w:val="00FF123E"/>
    <w:rsid w:val="00FF1804"/>
    <w:rsid w:val="00FF197D"/>
    <w:rsid w:val="00FF1988"/>
    <w:rsid w:val="00FF2017"/>
    <w:rsid w:val="00FF2219"/>
    <w:rsid w:val="00FF3458"/>
    <w:rsid w:val="00FF3DA7"/>
    <w:rsid w:val="00FF415A"/>
    <w:rsid w:val="00FF4212"/>
    <w:rsid w:val="00FF4902"/>
    <w:rsid w:val="00FF5369"/>
    <w:rsid w:val="00FF5BC9"/>
    <w:rsid w:val="00FF5C06"/>
    <w:rsid w:val="00FF635A"/>
    <w:rsid w:val="00FF678F"/>
    <w:rsid w:val="00FF6BE5"/>
    <w:rsid w:val="025E5C46"/>
    <w:rsid w:val="02A04348"/>
    <w:rsid w:val="036E1ED9"/>
    <w:rsid w:val="03801A75"/>
    <w:rsid w:val="04592514"/>
    <w:rsid w:val="04A0544A"/>
    <w:rsid w:val="07F57DA1"/>
    <w:rsid w:val="0B5B0AF7"/>
    <w:rsid w:val="0C4B3288"/>
    <w:rsid w:val="0D9F1861"/>
    <w:rsid w:val="0FDB2676"/>
    <w:rsid w:val="111B2AEB"/>
    <w:rsid w:val="112475D1"/>
    <w:rsid w:val="11E47BCA"/>
    <w:rsid w:val="12FC3B11"/>
    <w:rsid w:val="13532C08"/>
    <w:rsid w:val="148323B4"/>
    <w:rsid w:val="14A230AD"/>
    <w:rsid w:val="158E3F6F"/>
    <w:rsid w:val="18355DE9"/>
    <w:rsid w:val="18654285"/>
    <w:rsid w:val="192C07A2"/>
    <w:rsid w:val="1AB840BE"/>
    <w:rsid w:val="1AF14740"/>
    <w:rsid w:val="1BE53188"/>
    <w:rsid w:val="1C9B4AE7"/>
    <w:rsid w:val="1CCB550A"/>
    <w:rsid w:val="1D5E010E"/>
    <w:rsid w:val="1E4A30AD"/>
    <w:rsid w:val="23631D9E"/>
    <w:rsid w:val="23AC0323"/>
    <w:rsid w:val="23B353D8"/>
    <w:rsid w:val="26D718A7"/>
    <w:rsid w:val="27DE14B1"/>
    <w:rsid w:val="280B5FD9"/>
    <w:rsid w:val="28321708"/>
    <w:rsid w:val="28753689"/>
    <w:rsid w:val="28CE29D6"/>
    <w:rsid w:val="2AA2304C"/>
    <w:rsid w:val="2B244FF2"/>
    <w:rsid w:val="2BAC601C"/>
    <w:rsid w:val="2BFF6067"/>
    <w:rsid w:val="2D1B334B"/>
    <w:rsid w:val="2F7F5FF9"/>
    <w:rsid w:val="2F8C242C"/>
    <w:rsid w:val="2FCE6CB5"/>
    <w:rsid w:val="32BD4361"/>
    <w:rsid w:val="34C15AFD"/>
    <w:rsid w:val="34E35906"/>
    <w:rsid w:val="3521484C"/>
    <w:rsid w:val="3757726C"/>
    <w:rsid w:val="39975AE4"/>
    <w:rsid w:val="3A3839F2"/>
    <w:rsid w:val="3AD317A9"/>
    <w:rsid w:val="3C037BA3"/>
    <w:rsid w:val="3C977C98"/>
    <w:rsid w:val="3CB97811"/>
    <w:rsid w:val="3DC0050A"/>
    <w:rsid w:val="3E5E0DF8"/>
    <w:rsid w:val="4084712F"/>
    <w:rsid w:val="40DB3617"/>
    <w:rsid w:val="41101D9B"/>
    <w:rsid w:val="42E65EF0"/>
    <w:rsid w:val="44C15880"/>
    <w:rsid w:val="4524644A"/>
    <w:rsid w:val="46822C02"/>
    <w:rsid w:val="46BD02E9"/>
    <w:rsid w:val="46F9501F"/>
    <w:rsid w:val="478458B3"/>
    <w:rsid w:val="48573FE9"/>
    <w:rsid w:val="48733EC3"/>
    <w:rsid w:val="4B4D6D2A"/>
    <w:rsid w:val="4C183A15"/>
    <w:rsid w:val="4C303827"/>
    <w:rsid w:val="4D8756FE"/>
    <w:rsid w:val="4DAA7E8E"/>
    <w:rsid w:val="4DB60209"/>
    <w:rsid w:val="4E2678E1"/>
    <w:rsid w:val="4F0537A2"/>
    <w:rsid w:val="4F44275A"/>
    <w:rsid w:val="514C64E3"/>
    <w:rsid w:val="5162679E"/>
    <w:rsid w:val="52246E84"/>
    <w:rsid w:val="52B87285"/>
    <w:rsid w:val="53DC26AB"/>
    <w:rsid w:val="544B11C3"/>
    <w:rsid w:val="58515723"/>
    <w:rsid w:val="58E00519"/>
    <w:rsid w:val="59067577"/>
    <w:rsid w:val="59245D39"/>
    <w:rsid w:val="59471CE3"/>
    <w:rsid w:val="59D47328"/>
    <w:rsid w:val="5AF36EEC"/>
    <w:rsid w:val="5C8B4C60"/>
    <w:rsid w:val="5E141554"/>
    <w:rsid w:val="5E6C0330"/>
    <w:rsid w:val="5F8E31F1"/>
    <w:rsid w:val="5FA20173"/>
    <w:rsid w:val="60DF6327"/>
    <w:rsid w:val="615B7252"/>
    <w:rsid w:val="616E4082"/>
    <w:rsid w:val="61F623BD"/>
    <w:rsid w:val="62695C2E"/>
    <w:rsid w:val="62DF48FB"/>
    <w:rsid w:val="639C47A6"/>
    <w:rsid w:val="642D4061"/>
    <w:rsid w:val="646742DE"/>
    <w:rsid w:val="64F763DB"/>
    <w:rsid w:val="65BE0A89"/>
    <w:rsid w:val="66C10E2B"/>
    <w:rsid w:val="68A351FD"/>
    <w:rsid w:val="694052B9"/>
    <w:rsid w:val="69512418"/>
    <w:rsid w:val="69552F4A"/>
    <w:rsid w:val="6A112890"/>
    <w:rsid w:val="6ABF53C8"/>
    <w:rsid w:val="6BF369FE"/>
    <w:rsid w:val="6CA069FF"/>
    <w:rsid w:val="6EB07DB4"/>
    <w:rsid w:val="6EFF538D"/>
    <w:rsid w:val="73934F08"/>
    <w:rsid w:val="741F1D76"/>
    <w:rsid w:val="743D18DF"/>
    <w:rsid w:val="767F1C79"/>
    <w:rsid w:val="76D94C33"/>
    <w:rsid w:val="77072641"/>
    <w:rsid w:val="77BB70A3"/>
    <w:rsid w:val="7B37433D"/>
    <w:rsid w:val="7C1610D7"/>
    <w:rsid w:val="7D674B6E"/>
    <w:rsid w:val="7E2D0365"/>
    <w:rsid w:val="7EAA12C2"/>
    <w:rsid w:val="7FF0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qFormat="1" w:unhideWhenUsed="0" w:uiPriority="99" w:semiHidden="0" w:name="Normal Indent"/>
    <w:lsdException w:qFormat="1" w:unhideWhenUsed="0" w:uiPriority="0"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9"/>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1"/>
    <w:link w:val="52"/>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1"/>
    <w:link w:val="53"/>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5">
    <w:name w:val="heading 4"/>
    <w:basedOn w:val="1"/>
    <w:next w:val="1"/>
    <w:link w:val="54"/>
    <w:semiHidden/>
    <w:unhideWhenUsed/>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55"/>
    <w:semiHidden/>
    <w:unhideWhenUsed/>
    <w:qFormat/>
    <w:uiPriority w:val="0"/>
    <w:pPr>
      <w:keepNext/>
      <w:keepLines/>
      <w:spacing w:before="280" w:after="290" w:line="376" w:lineRule="auto"/>
      <w:outlineLvl w:val="4"/>
    </w:pPr>
    <w:rPr>
      <w:b/>
      <w:bCs/>
      <w:sz w:val="28"/>
      <w:szCs w:val="28"/>
    </w:rPr>
  </w:style>
  <w:style w:type="paragraph" w:styleId="7">
    <w:name w:val="heading 7"/>
    <w:basedOn w:val="1"/>
    <w:next w:val="8"/>
    <w:link w:val="57"/>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9">
    <w:name w:val="heading 8"/>
    <w:basedOn w:val="1"/>
    <w:next w:val="8"/>
    <w:link w:val="58"/>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0">
    <w:name w:val="heading 9"/>
    <w:basedOn w:val="1"/>
    <w:next w:val="8"/>
    <w:link w:val="59"/>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6"/>
    <w:qFormat/>
    <w:uiPriority w:val="99"/>
    <w:pPr>
      <w:autoSpaceDE w:val="0"/>
      <w:autoSpaceDN w:val="0"/>
      <w:adjustRightInd w:val="0"/>
      <w:ind w:firstLine="420"/>
      <w:jc w:val="left"/>
      <w:textAlignment w:val="baseline"/>
    </w:pPr>
    <w:rPr>
      <w:rFonts w:ascii="宋体" w:eastAsia="宋体"/>
      <w:kern w:val="0"/>
      <w:sz w:val="34"/>
    </w:rPr>
  </w:style>
  <w:style w:type="paragraph" w:styleId="11">
    <w:name w:val="toc 7"/>
    <w:basedOn w:val="1"/>
    <w:next w:val="1"/>
    <w:semiHidden/>
    <w:qFormat/>
    <w:uiPriority w:val="0"/>
    <w:pPr>
      <w:ind w:left="1800"/>
      <w:jc w:val="left"/>
    </w:pPr>
    <w:rPr>
      <w:sz w:val="18"/>
      <w:szCs w:val="18"/>
    </w:rPr>
  </w:style>
  <w:style w:type="paragraph" w:styleId="12">
    <w:name w:val="caption"/>
    <w:basedOn w:val="1"/>
    <w:next w:val="1"/>
    <w:qFormat/>
    <w:uiPriority w:val="0"/>
    <w:rPr>
      <w:rFonts w:ascii="Arial" w:hAnsi="Arial" w:eastAsia="黑体" w:cs="Arial"/>
      <w:sz w:val="20"/>
    </w:rPr>
  </w:style>
  <w:style w:type="paragraph" w:styleId="13">
    <w:name w:val="Document Map"/>
    <w:basedOn w:val="1"/>
    <w:link w:val="78"/>
    <w:semiHidden/>
    <w:qFormat/>
    <w:uiPriority w:val="0"/>
    <w:pPr>
      <w:shd w:val="clear" w:color="auto" w:fill="000080"/>
    </w:pPr>
    <w:rPr>
      <w:kern w:val="0"/>
      <w:shd w:val="clear" w:color="auto" w:fill="000080"/>
    </w:rPr>
  </w:style>
  <w:style w:type="paragraph" w:styleId="14">
    <w:name w:val="annotation text"/>
    <w:basedOn w:val="1"/>
    <w:link w:val="76"/>
    <w:uiPriority w:val="99"/>
    <w:pPr>
      <w:jc w:val="left"/>
    </w:pPr>
    <w:rPr>
      <w:rFonts w:eastAsia="宋体"/>
      <w:sz w:val="21"/>
      <w:szCs w:val="24"/>
    </w:rPr>
  </w:style>
  <w:style w:type="paragraph" w:styleId="15">
    <w:name w:val="Body Text 3"/>
    <w:basedOn w:val="1"/>
    <w:link w:val="65"/>
    <w:qFormat/>
    <w:uiPriority w:val="0"/>
    <w:pPr>
      <w:spacing w:after="120"/>
    </w:pPr>
    <w:rPr>
      <w:rFonts w:eastAsia="宋体"/>
      <w:sz w:val="16"/>
      <w:szCs w:val="16"/>
    </w:rPr>
  </w:style>
  <w:style w:type="paragraph" w:styleId="16">
    <w:name w:val="Body Text"/>
    <w:basedOn w:val="1"/>
    <w:link w:val="66"/>
    <w:qFormat/>
    <w:uiPriority w:val="1"/>
    <w:pPr>
      <w:spacing w:line="360" w:lineRule="auto"/>
    </w:pPr>
    <w:rPr>
      <w:rFonts w:ascii="仿宋_GB2312"/>
      <w:sz w:val="28"/>
    </w:rPr>
  </w:style>
  <w:style w:type="paragraph" w:styleId="17">
    <w:name w:val="Body Text Indent"/>
    <w:basedOn w:val="1"/>
    <w:link w:val="63"/>
    <w:uiPriority w:val="0"/>
    <w:pPr>
      <w:autoSpaceDE w:val="0"/>
      <w:autoSpaceDN w:val="0"/>
      <w:adjustRightInd w:val="0"/>
      <w:spacing w:line="480" w:lineRule="exact"/>
      <w:ind w:left="850" w:hanging="249"/>
      <w:textAlignment w:val="baseline"/>
    </w:pPr>
    <w:rPr>
      <w:rFonts w:ascii="仿宋_GB2312"/>
      <w:kern w:val="0"/>
      <w:sz w:val="28"/>
    </w:rPr>
  </w:style>
  <w:style w:type="paragraph" w:styleId="18">
    <w:name w:val="Block Text"/>
    <w:basedOn w:val="1"/>
    <w:uiPriority w:val="0"/>
    <w:pPr>
      <w:widowControl/>
      <w:ind w:left="226" w:leftChars="94" w:right="103" w:rightChars="43"/>
      <w:jc w:val="left"/>
    </w:pPr>
    <w:rPr>
      <w:rFonts w:ascii="宋体" w:hAnsi="宋体" w:eastAsia="宋体"/>
      <w:color w:val="FF0000"/>
      <w:kern w:val="0"/>
      <w:sz w:val="24"/>
      <w:szCs w:val="24"/>
    </w:rPr>
  </w:style>
  <w:style w:type="paragraph" w:styleId="19">
    <w:name w:val="toc 5"/>
    <w:basedOn w:val="1"/>
    <w:next w:val="1"/>
    <w:semiHidden/>
    <w:qFormat/>
    <w:uiPriority w:val="0"/>
    <w:pPr>
      <w:ind w:left="1200"/>
      <w:jc w:val="left"/>
    </w:pPr>
    <w:rPr>
      <w:sz w:val="18"/>
      <w:szCs w:val="18"/>
    </w:rPr>
  </w:style>
  <w:style w:type="paragraph" w:styleId="20">
    <w:name w:val="toc 3"/>
    <w:basedOn w:val="1"/>
    <w:next w:val="1"/>
    <w:uiPriority w:val="39"/>
    <w:pPr>
      <w:ind w:left="600"/>
      <w:jc w:val="left"/>
    </w:pPr>
    <w:rPr>
      <w:iCs/>
      <w:sz w:val="20"/>
    </w:rPr>
  </w:style>
  <w:style w:type="paragraph" w:styleId="21">
    <w:name w:val="Plain Text"/>
    <w:basedOn w:val="1"/>
    <w:link w:val="73"/>
    <w:qFormat/>
    <w:uiPriority w:val="0"/>
    <w:rPr>
      <w:rFonts w:ascii="宋体" w:hAnsi="Courier New" w:eastAsia="宋体"/>
      <w:sz w:val="21"/>
    </w:rPr>
  </w:style>
  <w:style w:type="paragraph" w:styleId="22">
    <w:name w:val="toc 8"/>
    <w:basedOn w:val="1"/>
    <w:next w:val="1"/>
    <w:semiHidden/>
    <w:uiPriority w:val="0"/>
    <w:pPr>
      <w:ind w:left="2100"/>
      <w:jc w:val="left"/>
    </w:pPr>
    <w:rPr>
      <w:sz w:val="18"/>
      <w:szCs w:val="18"/>
    </w:rPr>
  </w:style>
  <w:style w:type="paragraph" w:styleId="23">
    <w:name w:val="Date"/>
    <w:basedOn w:val="1"/>
    <w:next w:val="1"/>
    <w:link w:val="72"/>
    <w:uiPriority w:val="0"/>
    <w:pPr>
      <w:autoSpaceDE w:val="0"/>
      <w:autoSpaceDN w:val="0"/>
      <w:adjustRightInd w:val="0"/>
      <w:textAlignment w:val="baseline"/>
    </w:pPr>
    <w:rPr>
      <w:rFonts w:ascii="宋体" w:eastAsia="宋体"/>
      <w:kern w:val="0"/>
      <w:sz w:val="28"/>
    </w:rPr>
  </w:style>
  <w:style w:type="paragraph" w:styleId="24">
    <w:name w:val="Body Text Indent 2"/>
    <w:basedOn w:val="1"/>
    <w:uiPriority w:val="0"/>
    <w:pPr>
      <w:spacing w:after="120" w:line="480" w:lineRule="auto"/>
      <w:ind w:left="420" w:leftChars="200"/>
    </w:pPr>
    <w:rPr>
      <w:rFonts w:eastAsia="宋体"/>
      <w:sz w:val="21"/>
      <w:szCs w:val="24"/>
    </w:rPr>
  </w:style>
  <w:style w:type="paragraph" w:styleId="25">
    <w:name w:val="Balloon Text"/>
    <w:basedOn w:val="1"/>
    <w:link w:val="74"/>
    <w:uiPriority w:val="0"/>
    <w:rPr>
      <w:kern w:val="0"/>
      <w:sz w:val="18"/>
      <w:szCs w:val="18"/>
    </w:rPr>
  </w:style>
  <w:style w:type="paragraph" w:styleId="26">
    <w:name w:val="footer"/>
    <w:basedOn w:val="1"/>
    <w:link w:val="87"/>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7">
    <w:name w:val="header"/>
    <w:basedOn w:val="1"/>
    <w:link w:val="79"/>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28">
    <w:name w:val="toc 1"/>
    <w:basedOn w:val="1"/>
    <w:next w:val="1"/>
    <w:uiPriority w:val="39"/>
    <w:pPr>
      <w:spacing w:before="120" w:after="120"/>
      <w:jc w:val="left"/>
    </w:pPr>
    <w:rPr>
      <w:b/>
      <w:bCs/>
      <w:caps/>
      <w:sz w:val="20"/>
    </w:rPr>
  </w:style>
  <w:style w:type="paragraph" w:styleId="29">
    <w:name w:val="toc 4"/>
    <w:basedOn w:val="1"/>
    <w:next w:val="1"/>
    <w:semiHidden/>
    <w:uiPriority w:val="0"/>
    <w:pPr>
      <w:ind w:left="900"/>
      <w:jc w:val="left"/>
    </w:pPr>
    <w:rPr>
      <w:sz w:val="18"/>
      <w:szCs w:val="18"/>
    </w:rPr>
  </w:style>
  <w:style w:type="paragraph" w:styleId="30">
    <w:name w:val="index heading"/>
    <w:basedOn w:val="1"/>
    <w:next w:val="31"/>
    <w:qFormat/>
    <w:uiPriority w:val="0"/>
    <w:rPr>
      <w:rFonts w:eastAsia="宋体" w:cstheme="minorBidi"/>
      <w:sz w:val="21"/>
    </w:rPr>
  </w:style>
  <w:style w:type="paragraph" w:styleId="31">
    <w:name w:val="index 1"/>
    <w:basedOn w:val="1"/>
    <w:next w:val="1"/>
    <w:unhideWhenUsed/>
    <w:qFormat/>
    <w:uiPriority w:val="99"/>
    <w:rPr>
      <w:rFonts w:eastAsia="宋体" w:cstheme="minorBidi"/>
      <w:sz w:val="21"/>
      <w:szCs w:val="24"/>
    </w:rPr>
  </w:style>
  <w:style w:type="paragraph" w:styleId="32">
    <w:name w:val="Subtitle"/>
    <w:basedOn w:val="1"/>
    <w:next w:val="1"/>
    <w:link w:val="137"/>
    <w:qFormat/>
    <w:uiPriority w:val="0"/>
    <w:pPr>
      <w:spacing w:before="240" w:after="60" w:line="312" w:lineRule="auto"/>
      <w:jc w:val="center"/>
      <w:outlineLvl w:val="1"/>
    </w:pPr>
    <w:rPr>
      <w:rFonts w:ascii="Cambria" w:hAnsi="Cambria" w:eastAsiaTheme="minorEastAsia" w:cstheme="majorBidi"/>
      <w:b/>
      <w:bCs/>
      <w:kern w:val="28"/>
      <w:sz w:val="32"/>
      <w:szCs w:val="32"/>
    </w:rPr>
  </w:style>
  <w:style w:type="paragraph" w:styleId="33">
    <w:name w:val="footnote text"/>
    <w:basedOn w:val="1"/>
    <w:link w:val="89"/>
    <w:qFormat/>
    <w:uiPriority w:val="0"/>
    <w:pPr>
      <w:snapToGrid w:val="0"/>
      <w:jc w:val="left"/>
    </w:pPr>
    <w:rPr>
      <w:sz w:val="18"/>
      <w:szCs w:val="18"/>
    </w:rPr>
  </w:style>
  <w:style w:type="paragraph" w:styleId="34">
    <w:name w:val="toc 6"/>
    <w:basedOn w:val="1"/>
    <w:next w:val="1"/>
    <w:semiHidden/>
    <w:uiPriority w:val="0"/>
    <w:pPr>
      <w:ind w:left="1500"/>
      <w:jc w:val="left"/>
    </w:pPr>
    <w:rPr>
      <w:sz w:val="18"/>
      <w:szCs w:val="18"/>
    </w:rPr>
  </w:style>
  <w:style w:type="paragraph" w:styleId="35">
    <w:name w:val="Body Text Indent 3"/>
    <w:basedOn w:val="1"/>
    <w:link w:val="80"/>
    <w:uiPriority w:val="0"/>
    <w:pPr>
      <w:spacing w:after="120"/>
      <w:ind w:left="420" w:leftChars="200"/>
    </w:pPr>
    <w:rPr>
      <w:sz w:val="16"/>
      <w:szCs w:val="16"/>
    </w:rPr>
  </w:style>
  <w:style w:type="paragraph" w:styleId="36">
    <w:name w:val="toc 2"/>
    <w:basedOn w:val="1"/>
    <w:next w:val="1"/>
    <w:uiPriority w:val="39"/>
    <w:pPr>
      <w:ind w:left="300"/>
      <w:jc w:val="left"/>
    </w:pPr>
    <w:rPr>
      <w:smallCaps/>
      <w:sz w:val="20"/>
    </w:rPr>
  </w:style>
  <w:style w:type="paragraph" w:styleId="37">
    <w:name w:val="toc 9"/>
    <w:basedOn w:val="1"/>
    <w:next w:val="1"/>
    <w:semiHidden/>
    <w:uiPriority w:val="0"/>
    <w:pPr>
      <w:ind w:left="2400"/>
      <w:jc w:val="left"/>
    </w:pPr>
    <w:rPr>
      <w:sz w:val="18"/>
      <w:szCs w:val="18"/>
    </w:rPr>
  </w:style>
  <w:style w:type="paragraph" w:styleId="38">
    <w:name w:val="Body Text 2"/>
    <w:basedOn w:val="1"/>
    <w:link w:val="88"/>
    <w:qFormat/>
    <w:uiPriority w:val="0"/>
    <w:pPr>
      <w:spacing w:after="120" w:line="480" w:lineRule="auto"/>
    </w:pPr>
    <w:rPr>
      <w:rFonts w:eastAsia="宋体"/>
      <w:sz w:val="21"/>
      <w:szCs w:val="24"/>
    </w:rPr>
  </w:style>
  <w:style w:type="paragraph" w:styleId="39">
    <w:name w:val="Normal (Web)"/>
    <w:basedOn w:val="1"/>
    <w:uiPriority w:val="99"/>
    <w:pPr>
      <w:widowControl/>
      <w:jc w:val="left"/>
    </w:pPr>
    <w:rPr>
      <w:rFonts w:ascii="宋体" w:hAnsi="宋体" w:eastAsia="宋体" w:cs="宋体"/>
      <w:kern w:val="0"/>
      <w:sz w:val="24"/>
      <w:szCs w:val="24"/>
    </w:rPr>
  </w:style>
  <w:style w:type="paragraph" w:styleId="40">
    <w:name w:val="Title"/>
    <w:basedOn w:val="1"/>
    <w:next w:val="1"/>
    <w:link w:val="82"/>
    <w:qFormat/>
    <w:uiPriority w:val="0"/>
    <w:pPr>
      <w:spacing w:before="240" w:after="60"/>
      <w:jc w:val="center"/>
      <w:outlineLvl w:val="0"/>
    </w:pPr>
    <w:rPr>
      <w:rFonts w:ascii="Cambria" w:hAnsi="Cambria" w:eastAsia="宋体"/>
      <w:b/>
      <w:bCs/>
      <w:sz w:val="32"/>
      <w:szCs w:val="32"/>
    </w:rPr>
  </w:style>
  <w:style w:type="paragraph" w:styleId="41">
    <w:name w:val="annotation subject"/>
    <w:basedOn w:val="14"/>
    <w:next w:val="14"/>
    <w:link w:val="75"/>
    <w:semiHidden/>
    <w:qFormat/>
    <w:uiPriority w:val="0"/>
    <w:rPr>
      <w:rFonts w:eastAsia="仿宋_GB2312"/>
      <w:b/>
      <w:bCs/>
      <w:sz w:val="30"/>
      <w:szCs w:val="20"/>
    </w:rPr>
  </w:style>
  <w:style w:type="paragraph" w:styleId="42">
    <w:name w:val="Body Text First Indent 2"/>
    <w:basedOn w:val="17"/>
    <w:link w:val="148"/>
    <w:qFormat/>
    <w:uiPriority w:val="0"/>
    <w:pPr>
      <w:autoSpaceDE/>
      <w:autoSpaceDN/>
      <w:adjustRightInd/>
      <w:spacing w:after="120" w:line="240" w:lineRule="auto"/>
      <w:ind w:left="420" w:leftChars="200" w:firstLine="420" w:firstLineChars="200"/>
      <w:textAlignment w:val="auto"/>
    </w:pPr>
    <w:rPr>
      <w:rFonts w:ascii="Times New Roman"/>
      <w:kern w:val="2"/>
      <w:sz w:val="30"/>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Char"/>
    <w:link w:val="2"/>
    <w:uiPriority w:val="9"/>
    <w:rPr>
      <w:rFonts w:ascii="宋体" w:eastAsia="宋体"/>
      <w:b/>
      <w:kern w:val="44"/>
      <w:sz w:val="44"/>
      <w:lang w:val="en-US" w:eastAsia="zh-CN" w:bidi="ar-SA"/>
    </w:rPr>
  </w:style>
  <w:style w:type="character" w:customStyle="1" w:styleId="52">
    <w:name w:val="标题 2 Char"/>
    <w:link w:val="3"/>
    <w:uiPriority w:val="0"/>
    <w:rPr>
      <w:rFonts w:ascii="Arial" w:hAnsi="Arial" w:eastAsia="黑体"/>
      <w:b/>
      <w:sz w:val="32"/>
      <w:lang w:val="en-US" w:eastAsia="zh-CN" w:bidi="ar-SA"/>
    </w:rPr>
  </w:style>
  <w:style w:type="character" w:customStyle="1" w:styleId="53">
    <w:name w:val="标题 3 Char"/>
    <w:link w:val="4"/>
    <w:uiPriority w:val="0"/>
    <w:rPr>
      <w:rFonts w:ascii="宋体" w:eastAsia="宋体"/>
      <w:b/>
      <w:sz w:val="32"/>
      <w:lang w:val="en-US" w:eastAsia="zh-CN" w:bidi="ar-SA"/>
    </w:rPr>
  </w:style>
  <w:style w:type="character" w:customStyle="1" w:styleId="54">
    <w:name w:val="标题 4 Char"/>
    <w:basedOn w:val="45"/>
    <w:link w:val="5"/>
    <w:semiHidden/>
    <w:uiPriority w:val="0"/>
    <w:rPr>
      <w:rFonts w:ascii="Cambria" w:hAnsi="Cambria" w:eastAsia="宋体" w:cs="Times New Roman"/>
      <w:b/>
      <w:bCs/>
      <w:kern w:val="2"/>
      <w:sz w:val="28"/>
      <w:szCs w:val="28"/>
    </w:rPr>
  </w:style>
  <w:style w:type="character" w:customStyle="1" w:styleId="55">
    <w:name w:val="标题 5 Char"/>
    <w:basedOn w:val="45"/>
    <w:link w:val="6"/>
    <w:semiHidden/>
    <w:qFormat/>
    <w:uiPriority w:val="0"/>
    <w:rPr>
      <w:rFonts w:eastAsia="仿宋_GB2312"/>
      <w:b/>
      <w:bCs/>
      <w:kern w:val="2"/>
      <w:sz w:val="28"/>
      <w:szCs w:val="28"/>
    </w:rPr>
  </w:style>
  <w:style w:type="character" w:customStyle="1" w:styleId="56">
    <w:name w:val="正文缩进 Char"/>
    <w:link w:val="8"/>
    <w:qFormat/>
    <w:uiPriority w:val="0"/>
    <w:rPr>
      <w:rFonts w:ascii="宋体" w:eastAsia="宋体"/>
      <w:sz w:val="34"/>
      <w:lang w:val="en-US" w:eastAsia="zh-CN" w:bidi="ar-SA"/>
    </w:rPr>
  </w:style>
  <w:style w:type="character" w:customStyle="1" w:styleId="57">
    <w:name w:val="标题 7 Char"/>
    <w:link w:val="7"/>
    <w:uiPriority w:val="0"/>
    <w:rPr>
      <w:rFonts w:ascii="宋体"/>
      <w:b/>
      <w:color w:val="000000"/>
      <w:kern w:val="2"/>
      <w:sz w:val="24"/>
      <w:szCs w:val="24"/>
    </w:rPr>
  </w:style>
  <w:style w:type="character" w:customStyle="1" w:styleId="58">
    <w:name w:val="标题 8 Char"/>
    <w:link w:val="9"/>
    <w:qFormat/>
    <w:uiPriority w:val="0"/>
    <w:rPr>
      <w:rFonts w:ascii="Arial" w:hAnsi="Arial" w:eastAsia="黑体"/>
      <w:color w:val="000000"/>
      <w:kern w:val="2"/>
      <w:sz w:val="24"/>
      <w:szCs w:val="24"/>
    </w:rPr>
  </w:style>
  <w:style w:type="character" w:customStyle="1" w:styleId="59">
    <w:name w:val="标题 9 Char"/>
    <w:link w:val="10"/>
    <w:uiPriority w:val="0"/>
    <w:rPr>
      <w:rFonts w:ascii="Arial" w:hAnsi="Arial" w:eastAsia="黑体"/>
      <w:color w:val="000000"/>
      <w:kern w:val="2"/>
      <w:sz w:val="24"/>
      <w:szCs w:val="24"/>
    </w:rPr>
  </w:style>
  <w:style w:type="character" w:customStyle="1" w:styleId="60">
    <w:name w:val="breadcrumbnavclass"/>
    <w:basedOn w:val="45"/>
    <w:qFormat/>
    <w:uiPriority w:val="0"/>
  </w:style>
  <w:style w:type="character" w:customStyle="1" w:styleId="61">
    <w:name w:val="Char Char12"/>
    <w:uiPriority w:val="0"/>
    <w:rPr>
      <w:rFonts w:ascii="宋体" w:hAnsi="Courier New"/>
      <w:kern w:val="2"/>
      <w:sz w:val="21"/>
    </w:rPr>
  </w:style>
  <w:style w:type="character" w:customStyle="1" w:styleId="62">
    <w:name w:val="marklong"/>
    <w:basedOn w:val="45"/>
    <w:qFormat/>
    <w:uiPriority w:val="0"/>
  </w:style>
  <w:style w:type="character" w:customStyle="1" w:styleId="63">
    <w:name w:val="正文文本缩进 Char"/>
    <w:link w:val="17"/>
    <w:uiPriority w:val="0"/>
    <w:rPr>
      <w:rFonts w:ascii="仿宋_GB2312" w:eastAsia="仿宋_GB2312"/>
      <w:sz w:val="28"/>
      <w:lang w:val="en-US" w:eastAsia="zh-CN" w:bidi="ar-SA"/>
    </w:rPr>
  </w:style>
  <w:style w:type="character" w:customStyle="1" w:styleId="64">
    <w:name w:val="ca-11"/>
    <w:uiPriority w:val="0"/>
    <w:rPr>
      <w:rFonts w:hint="default" w:ascii="Times New Roman" w:hAnsi="Times New Roman" w:cs="Times New Roman"/>
      <w:b/>
      <w:bCs/>
      <w:spacing w:val="-20"/>
      <w:sz w:val="30"/>
      <w:szCs w:val="30"/>
    </w:rPr>
  </w:style>
  <w:style w:type="character" w:customStyle="1" w:styleId="65">
    <w:name w:val="正文文本 3 Char"/>
    <w:link w:val="15"/>
    <w:qFormat/>
    <w:uiPriority w:val="0"/>
    <w:rPr>
      <w:rFonts w:eastAsia="宋体"/>
      <w:kern w:val="2"/>
      <w:sz w:val="16"/>
      <w:szCs w:val="16"/>
      <w:lang w:val="en-US" w:eastAsia="zh-CN" w:bidi="ar-SA"/>
    </w:rPr>
  </w:style>
  <w:style w:type="character" w:customStyle="1" w:styleId="66">
    <w:name w:val="正文文本 Char"/>
    <w:link w:val="16"/>
    <w:uiPriority w:val="0"/>
    <w:rPr>
      <w:rFonts w:ascii="仿宋_GB2312" w:eastAsia="仿宋_GB2312"/>
      <w:kern w:val="2"/>
      <w:sz w:val="28"/>
      <w:lang w:val="en-US" w:eastAsia="zh-CN" w:bidi="ar-SA"/>
    </w:rPr>
  </w:style>
  <w:style w:type="character" w:customStyle="1" w:styleId="67">
    <w:name w:val="ca-31"/>
    <w:uiPriority w:val="0"/>
    <w:rPr>
      <w:rFonts w:hint="eastAsia" w:ascii="宋体" w:hAnsi="宋体" w:eastAsia="宋体"/>
      <w:sz w:val="21"/>
      <w:szCs w:val="21"/>
    </w:rPr>
  </w:style>
  <w:style w:type="character" w:customStyle="1" w:styleId="68">
    <w:name w:val="ca-41"/>
    <w:uiPriority w:val="0"/>
    <w:rPr>
      <w:rFonts w:hint="eastAsia" w:ascii="宋体" w:hAnsi="宋体" w:eastAsia="宋体"/>
      <w:b/>
      <w:bCs/>
      <w:spacing w:val="-20"/>
      <w:sz w:val="21"/>
      <w:szCs w:val="21"/>
    </w:rPr>
  </w:style>
  <w:style w:type="character" w:customStyle="1" w:styleId="69">
    <w:name w:val="ca-21"/>
    <w:qFormat/>
    <w:uiPriority w:val="0"/>
    <w:rPr>
      <w:rFonts w:hint="eastAsia" w:ascii="仿宋_GB2312" w:eastAsia="仿宋_GB2312"/>
      <w:b/>
      <w:bCs/>
      <w:spacing w:val="-20"/>
      <w:sz w:val="30"/>
      <w:szCs w:val="30"/>
    </w:rPr>
  </w:style>
  <w:style w:type="character" w:customStyle="1" w:styleId="70">
    <w:name w:val="标题 3.1 Char"/>
    <w:link w:val="71"/>
    <w:qFormat/>
    <w:uiPriority w:val="0"/>
    <w:rPr>
      <w:rFonts w:ascii="宋体" w:hAnsi="宋体"/>
      <w:b/>
      <w:bCs/>
      <w:kern w:val="2"/>
      <w:sz w:val="24"/>
      <w:szCs w:val="28"/>
    </w:rPr>
  </w:style>
  <w:style w:type="paragraph" w:customStyle="1" w:styleId="71">
    <w:name w:val="标题 3.1"/>
    <w:basedOn w:val="4"/>
    <w:link w:val="70"/>
    <w:qFormat/>
    <w:uiPriority w:val="0"/>
    <w:pPr>
      <w:tabs>
        <w:tab w:val="left" w:pos="709"/>
        <w:tab w:val="left" w:pos="1440"/>
        <w:tab w:val="left" w:pos="1620"/>
      </w:tabs>
      <w:autoSpaceDE/>
      <w:autoSpaceDN/>
      <w:adjustRightInd/>
      <w:spacing w:line="480" w:lineRule="exact"/>
      <w:jc w:val="both"/>
      <w:textAlignment w:val="auto"/>
    </w:pPr>
    <w:rPr>
      <w:rFonts w:hAnsi="宋体"/>
      <w:bCs/>
      <w:kern w:val="2"/>
      <w:sz w:val="24"/>
      <w:szCs w:val="28"/>
    </w:rPr>
  </w:style>
  <w:style w:type="character" w:customStyle="1" w:styleId="72">
    <w:name w:val="日期 Char"/>
    <w:link w:val="23"/>
    <w:qFormat/>
    <w:uiPriority w:val="0"/>
    <w:rPr>
      <w:rFonts w:ascii="宋体" w:eastAsia="宋体"/>
      <w:sz w:val="28"/>
      <w:lang w:val="en-US" w:eastAsia="zh-CN" w:bidi="ar-SA"/>
    </w:rPr>
  </w:style>
  <w:style w:type="character" w:customStyle="1" w:styleId="73">
    <w:name w:val="纯文本 Char"/>
    <w:link w:val="21"/>
    <w:qFormat/>
    <w:uiPriority w:val="0"/>
    <w:rPr>
      <w:rFonts w:ascii="宋体" w:hAnsi="Courier New" w:eastAsia="宋体"/>
      <w:kern w:val="2"/>
      <w:sz w:val="21"/>
      <w:lang w:val="en-US" w:eastAsia="zh-CN" w:bidi="ar-SA"/>
    </w:rPr>
  </w:style>
  <w:style w:type="character" w:customStyle="1" w:styleId="74">
    <w:name w:val="批注框文本 Char"/>
    <w:link w:val="25"/>
    <w:semiHidden/>
    <w:uiPriority w:val="0"/>
    <w:rPr>
      <w:rFonts w:eastAsia="仿宋_GB2312"/>
      <w:sz w:val="18"/>
      <w:szCs w:val="18"/>
      <w:lang w:bidi="ar-SA"/>
    </w:rPr>
  </w:style>
  <w:style w:type="character" w:customStyle="1" w:styleId="75">
    <w:name w:val="批注主题 Char"/>
    <w:link w:val="41"/>
    <w:semiHidden/>
    <w:uiPriority w:val="0"/>
    <w:rPr>
      <w:rFonts w:eastAsia="仿宋_GB2312"/>
      <w:b/>
      <w:bCs/>
      <w:kern w:val="2"/>
      <w:sz w:val="30"/>
    </w:rPr>
  </w:style>
  <w:style w:type="character" w:customStyle="1" w:styleId="76">
    <w:name w:val="批注文字 Char"/>
    <w:link w:val="14"/>
    <w:qFormat/>
    <w:uiPriority w:val="99"/>
    <w:rPr>
      <w:kern w:val="2"/>
      <w:sz w:val="21"/>
      <w:szCs w:val="24"/>
    </w:rPr>
  </w:style>
  <w:style w:type="character" w:customStyle="1" w:styleId="77">
    <w:name w:val="0921 Char1"/>
    <w:qFormat/>
    <w:uiPriority w:val="0"/>
    <w:rPr>
      <w:rFonts w:ascii="宋体" w:hAnsi="Courier New" w:eastAsia="宋体"/>
      <w:kern w:val="2"/>
      <w:sz w:val="21"/>
      <w:lang w:val="en-US" w:eastAsia="zh-CN" w:bidi="ar-SA"/>
    </w:rPr>
  </w:style>
  <w:style w:type="character" w:customStyle="1" w:styleId="78">
    <w:name w:val="文档结构图 Char"/>
    <w:link w:val="13"/>
    <w:semiHidden/>
    <w:uiPriority w:val="0"/>
    <w:rPr>
      <w:rFonts w:eastAsia="仿宋_GB2312"/>
      <w:sz w:val="30"/>
      <w:shd w:val="clear" w:color="auto" w:fill="000080"/>
      <w:lang w:bidi="ar-SA"/>
    </w:rPr>
  </w:style>
  <w:style w:type="character" w:customStyle="1" w:styleId="79">
    <w:name w:val="页眉 Char"/>
    <w:link w:val="27"/>
    <w:qFormat/>
    <w:uiPriority w:val="99"/>
    <w:rPr>
      <w:rFonts w:ascii="宋体" w:eastAsia="宋体"/>
      <w:sz w:val="18"/>
      <w:lang w:val="en-US" w:eastAsia="zh-CN" w:bidi="ar-SA"/>
    </w:rPr>
  </w:style>
  <w:style w:type="character" w:customStyle="1" w:styleId="80">
    <w:name w:val="正文文本缩进 3 Char"/>
    <w:link w:val="35"/>
    <w:uiPriority w:val="0"/>
    <w:rPr>
      <w:rFonts w:eastAsia="仿宋_GB2312"/>
      <w:kern w:val="2"/>
      <w:sz w:val="16"/>
      <w:szCs w:val="16"/>
      <w:lang w:val="en-US" w:eastAsia="zh-CN" w:bidi="ar-SA"/>
    </w:rPr>
  </w:style>
  <w:style w:type="character" w:customStyle="1" w:styleId="81">
    <w:name w:val="正文缩进2格 Char"/>
    <w:qFormat/>
    <w:uiPriority w:val="0"/>
    <w:rPr>
      <w:rFonts w:ascii="仿宋_GB2312" w:hAnsi="宋体" w:eastAsia="仿宋_GB2312"/>
      <w:kern w:val="2"/>
      <w:sz w:val="31"/>
      <w:szCs w:val="28"/>
      <w:lang w:val="en-US" w:eastAsia="zh-CN" w:bidi="ar-SA"/>
    </w:rPr>
  </w:style>
  <w:style w:type="character" w:customStyle="1" w:styleId="82">
    <w:name w:val="标题 Char"/>
    <w:link w:val="40"/>
    <w:qFormat/>
    <w:uiPriority w:val="0"/>
    <w:rPr>
      <w:rFonts w:ascii="Cambria" w:hAnsi="Cambria"/>
      <w:b/>
      <w:bCs/>
      <w:kern w:val="2"/>
      <w:sz w:val="32"/>
      <w:szCs w:val="32"/>
      <w:lang w:bidi="ar-SA"/>
    </w:rPr>
  </w:style>
  <w:style w:type="character" w:customStyle="1" w:styleId="83">
    <w:name w:val="ca-61"/>
    <w:qFormat/>
    <w:uiPriority w:val="0"/>
    <w:rPr>
      <w:rFonts w:hint="eastAsia" w:ascii="宋体" w:hAnsi="宋体" w:eastAsia="宋体"/>
      <w:color w:val="FF0000"/>
      <w:sz w:val="21"/>
      <w:szCs w:val="21"/>
    </w:rPr>
  </w:style>
  <w:style w:type="character" w:customStyle="1" w:styleId="84">
    <w:name w:val="正文缩进2格 Char Char"/>
    <w:link w:val="85"/>
    <w:qFormat/>
    <w:uiPriority w:val="0"/>
    <w:rPr>
      <w:rFonts w:ascii="仿宋_GB2312" w:hAnsi="宋体" w:eastAsia="仿宋_GB2312"/>
      <w:kern w:val="2"/>
      <w:sz w:val="31"/>
      <w:szCs w:val="28"/>
      <w:lang w:val="en-US" w:eastAsia="zh-CN" w:bidi="ar-SA"/>
    </w:rPr>
  </w:style>
  <w:style w:type="paragraph" w:customStyle="1" w:styleId="85">
    <w:name w:val="正文缩进2格"/>
    <w:basedOn w:val="1"/>
    <w:link w:val="84"/>
    <w:qFormat/>
    <w:uiPriority w:val="0"/>
    <w:pPr>
      <w:spacing w:line="600" w:lineRule="exact"/>
      <w:ind w:firstLine="639" w:firstLineChars="206"/>
    </w:pPr>
    <w:rPr>
      <w:rFonts w:ascii="仿宋_GB2312" w:hAnsi="宋体"/>
      <w:sz w:val="31"/>
      <w:szCs w:val="28"/>
    </w:rPr>
  </w:style>
  <w:style w:type="character" w:customStyle="1" w:styleId="86">
    <w:name w:val="ca-51"/>
    <w:qFormat/>
    <w:uiPriority w:val="0"/>
    <w:rPr>
      <w:rFonts w:hint="eastAsia" w:ascii="宋体" w:hAnsi="宋体" w:eastAsia="宋体"/>
      <w:b/>
      <w:bCs/>
      <w:color w:val="FF0000"/>
      <w:spacing w:val="-20"/>
      <w:sz w:val="21"/>
      <w:szCs w:val="21"/>
    </w:rPr>
  </w:style>
  <w:style w:type="character" w:customStyle="1" w:styleId="87">
    <w:name w:val="页脚 Char"/>
    <w:link w:val="26"/>
    <w:qFormat/>
    <w:uiPriority w:val="99"/>
    <w:rPr>
      <w:rFonts w:ascii="宋体" w:eastAsia="宋体"/>
      <w:sz w:val="18"/>
      <w:lang w:val="en-US" w:eastAsia="zh-CN" w:bidi="ar-SA"/>
    </w:rPr>
  </w:style>
  <w:style w:type="character" w:customStyle="1" w:styleId="88">
    <w:name w:val="正文文本 2 Char"/>
    <w:link w:val="38"/>
    <w:uiPriority w:val="0"/>
    <w:rPr>
      <w:rFonts w:eastAsia="宋体"/>
      <w:kern w:val="2"/>
      <w:sz w:val="21"/>
      <w:szCs w:val="24"/>
      <w:lang w:val="en-US" w:eastAsia="zh-CN" w:bidi="ar-SA"/>
    </w:rPr>
  </w:style>
  <w:style w:type="character" w:customStyle="1" w:styleId="89">
    <w:name w:val="脚注文本 Char"/>
    <w:link w:val="33"/>
    <w:qFormat/>
    <w:uiPriority w:val="0"/>
    <w:rPr>
      <w:rFonts w:eastAsia="仿宋_GB2312"/>
      <w:kern w:val="2"/>
      <w:sz w:val="18"/>
      <w:szCs w:val="18"/>
    </w:rPr>
  </w:style>
  <w:style w:type="character" w:customStyle="1" w:styleId="90">
    <w:name w:val="表正文 Char"/>
    <w:qFormat/>
    <w:uiPriority w:val="0"/>
    <w:rPr>
      <w:rFonts w:ascii="Times" w:hAnsi="Times" w:eastAsia="宋体"/>
      <w:kern w:val="2"/>
      <w:sz w:val="24"/>
      <w:lang w:val="en-US" w:eastAsia="zh-CN" w:bidi="ar-SA"/>
    </w:rPr>
  </w:style>
  <w:style w:type="character" w:customStyle="1" w:styleId="91">
    <w:name w:val="批注框文本 字符"/>
    <w:qFormat/>
    <w:uiPriority w:val="0"/>
    <w:rPr>
      <w:kern w:val="2"/>
      <w:sz w:val="18"/>
      <w:szCs w:val="18"/>
    </w:rPr>
  </w:style>
  <w:style w:type="paragraph" w:customStyle="1" w:styleId="92">
    <w:name w:val="样式 正文缩进 + 首行缩进:  2 字符"/>
    <w:basedOn w:val="8"/>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3">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94">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95">
    <w:name w:val="标题2"/>
    <w:basedOn w:val="3"/>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96">
    <w:name w:val="Char"/>
    <w:basedOn w:val="1"/>
    <w:uiPriority w:val="0"/>
    <w:rPr>
      <w:rFonts w:ascii="Tahoma" w:hAnsi="Tahoma" w:eastAsia="宋体"/>
      <w:sz w:val="24"/>
    </w:rPr>
  </w:style>
  <w:style w:type="paragraph" w:customStyle="1" w:styleId="97">
    <w:name w:val="Revision"/>
    <w:semiHidden/>
    <w:qFormat/>
    <w:uiPriority w:val="99"/>
    <w:rPr>
      <w:rFonts w:ascii="Times New Roman" w:hAnsi="Times New Roman" w:eastAsia="仿宋_GB2312" w:cs="Times New Roman"/>
      <w:kern w:val="2"/>
      <w:sz w:val="30"/>
      <w:lang w:val="en-US" w:eastAsia="zh-CN" w:bidi="ar-SA"/>
    </w:rPr>
  </w:style>
  <w:style w:type="paragraph" w:customStyle="1" w:styleId="98">
    <w:name w:val="pa-5"/>
    <w:basedOn w:val="1"/>
    <w:uiPriority w:val="0"/>
    <w:pPr>
      <w:widowControl/>
      <w:spacing w:line="280" w:lineRule="atLeast"/>
    </w:pPr>
    <w:rPr>
      <w:rFonts w:ascii="宋体" w:hAnsi="宋体" w:eastAsia="宋体" w:cs="宋体"/>
      <w:kern w:val="0"/>
      <w:sz w:val="24"/>
      <w:szCs w:val="24"/>
    </w:rPr>
  </w:style>
  <w:style w:type="paragraph" w:customStyle="1" w:styleId="99">
    <w:name w:val="Char Char2 Char"/>
    <w:basedOn w:val="1"/>
    <w:qFormat/>
    <w:uiPriority w:val="0"/>
    <w:rPr>
      <w:rFonts w:ascii="Tahoma" w:hAnsi="Tahoma" w:eastAsia="宋体"/>
      <w:sz w:val="24"/>
      <w:szCs w:val="24"/>
    </w:rPr>
  </w:style>
  <w:style w:type="paragraph" w:customStyle="1" w:styleId="100">
    <w:name w:val="项符&gt;"/>
    <w:basedOn w:val="1"/>
    <w:uiPriority w:val="0"/>
    <w:pPr>
      <w:spacing w:line="360" w:lineRule="auto"/>
    </w:pPr>
    <w:rPr>
      <w:rFonts w:ascii="宋体" w:hAnsi="宋体" w:eastAsia="宋体"/>
      <w:sz w:val="24"/>
      <w:szCs w:val="30"/>
    </w:rPr>
  </w:style>
  <w:style w:type="paragraph" w:customStyle="1" w:styleId="101">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列出段落1"/>
    <w:basedOn w:val="1"/>
    <w:qFormat/>
    <w:uiPriority w:val="99"/>
    <w:pPr>
      <w:ind w:firstLine="420" w:firstLineChars="200"/>
    </w:pPr>
    <w:rPr>
      <w:rFonts w:ascii="Calibri" w:hAnsi="Calibri"/>
      <w:szCs w:val="22"/>
    </w:rPr>
  </w:style>
  <w:style w:type="paragraph" w:customStyle="1" w:styleId="103">
    <w:name w:val="_Style 1"/>
    <w:basedOn w:val="1"/>
    <w:qFormat/>
    <w:uiPriority w:val="34"/>
    <w:pPr>
      <w:ind w:firstLine="420" w:firstLineChars="200"/>
    </w:pPr>
    <w:rPr>
      <w:rFonts w:ascii="Calibri" w:hAnsi="Calibri" w:eastAsia="宋体"/>
      <w:sz w:val="21"/>
      <w:szCs w:val="22"/>
    </w:rPr>
  </w:style>
  <w:style w:type="paragraph" w:customStyle="1" w:styleId="104">
    <w:name w:val="pa-1"/>
    <w:basedOn w:val="1"/>
    <w:qFormat/>
    <w:uiPriority w:val="0"/>
    <w:pPr>
      <w:widowControl/>
      <w:spacing w:line="340" w:lineRule="atLeast"/>
    </w:pPr>
    <w:rPr>
      <w:rFonts w:ascii="宋体" w:hAnsi="宋体" w:eastAsia="宋体" w:cs="宋体"/>
      <w:kern w:val="0"/>
      <w:sz w:val="24"/>
      <w:szCs w:val="24"/>
    </w:rPr>
  </w:style>
  <w:style w:type="paragraph" w:customStyle="1" w:styleId="105">
    <w:name w:val="Char Char2 Char1"/>
    <w:basedOn w:val="1"/>
    <w:uiPriority w:val="0"/>
    <w:rPr>
      <w:rFonts w:ascii="宋体" w:hAnsi="宋体" w:eastAsia="宋体"/>
      <w:b/>
      <w:sz w:val="28"/>
      <w:szCs w:val="28"/>
    </w:rPr>
  </w:style>
  <w:style w:type="paragraph" w:styleId="106">
    <w:name w:val="List Paragraph"/>
    <w:basedOn w:val="1"/>
    <w:link w:val="138"/>
    <w:qFormat/>
    <w:uiPriority w:val="0"/>
    <w:pPr>
      <w:ind w:firstLine="420" w:firstLineChars="200"/>
    </w:pPr>
    <w:rPr>
      <w:rFonts w:ascii="Calibri" w:hAnsi="Calibri" w:eastAsia="宋体"/>
      <w:sz w:val="21"/>
      <w:szCs w:val="22"/>
    </w:rPr>
  </w:style>
  <w:style w:type="paragraph" w:customStyle="1" w:styleId="107">
    <w:name w:val="正文无缩进"/>
    <w:basedOn w:val="85"/>
    <w:qFormat/>
    <w:uiPriority w:val="0"/>
    <w:pPr>
      <w:ind w:firstLine="0" w:firstLineChars="0"/>
    </w:pPr>
  </w:style>
  <w:style w:type="paragraph" w:styleId="10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Char Char13"/>
    <w:basedOn w:val="1"/>
    <w:uiPriority w:val="0"/>
    <w:rPr>
      <w:rFonts w:ascii="Tahoma" w:hAnsi="Tahoma" w:eastAsia="宋体"/>
      <w:sz w:val="24"/>
      <w:szCs w:val="24"/>
    </w:rPr>
  </w:style>
  <w:style w:type="paragraph" w:customStyle="1" w:styleId="110">
    <w:name w:val="1 Char Char Char Char"/>
    <w:basedOn w:val="1"/>
    <w:qFormat/>
    <w:uiPriority w:val="0"/>
    <w:pPr>
      <w:spacing w:after="160" w:line="240" w:lineRule="exact"/>
    </w:pPr>
    <w:rPr>
      <w:rFonts w:eastAsia="宋体"/>
      <w:sz w:val="21"/>
      <w:szCs w:val="24"/>
    </w:rPr>
  </w:style>
  <w:style w:type="paragraph" w:customStyle="1" w:styleId="111">
    <w:name w:val="题注4"/>
    <w:basedOn w:val="1"/>
    <w:next w:val="12"/>
    <w:uiPriority w:val="0"/>
    <w:pPr>
      <w:spacing w:line="480" w:lineRule="exact"/>
      <w:ind w:firstLine="410" w:firstLineChars="171"/>
    </w:pPr>
    <w:rPr>
      <w:rFonts w:ascii="宋体" w:hAnsi="宋体" w:eastAsia="宋体"/>
      <w:sz w:val="24"/>
      <w:szCs w:val="24"/>
    </w:rPr>
  </w:style>
  <w:style w:type="paragraph" w:customStyle="1" w:styleId="112">
    <w:name w:val="正文格式"/>
    <w:basedOn w:val="1"/>
    <w:qFormat/>
    <w:uiPriority w:val="99"/>
    <w:pPr>
      <w:spacing w:line="600" w:lineRule="exact"/>
      <w:ind w:firstLine="640" w:firstLineChars="200"/>
    </w:pPr>
    <w:rPr>
      <w:bCs/>
      <w:sz w:val="28"/>
      <w:szCs w:val="32"/>
    </w:rPr>
  </w:style>
  <w:style w:type="paragraph" w:customStyle="1" w:styleId="113">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小标题1"/>
    <w:basedOn w:val="1"/>
    <w:qFormat/>
    <w:uiPriority w:val="99"/>
    <w:pPr>
      <w:spacing w:line="600" w:lineRule="exact"/>
      <w:ind w:firstLine="640" w:firstLineChars="200"/>
      <w:outlineLvl w:val="2"/>
    </w:pPr>
    <w:rPr>
      <w:rFonts w:ascii="黑体" w:hAnsi="黑体" w:eastAsia="黑体"/>
      <w:sz w:val="32"/>
      <w:szCs w:val="32"/>
    </w:rPr>
  </w:style>
  <w:style w:type="paragraph" w:customStyle="1" w:styleId="11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pa-4"/>
    <w:basedOn w:val="1"/>
    <w:uiPriority w:val="0"/>
    <w:pPr>
      <w:widowControl/>
      <w:spacing w:line="280" w:lineRule="atLeast"/>
      <w:jc w:val="center"/>
    </w:pPr>
    <w:rPr>
      <w:rFonts w:ascii="宋体" w:hAnsi="宋体" w:eastAsia="宋体" w:cs="宋体"/>
      <w:kern w:val="0"/>
      <w:sz w:val="24"/>
      <w:szCs w:val="24"/>
    </w:rPr>
  </w:style>
  <w:style w:type="paragraph" w:customStyle="1" w:styleId="117">
    <w:name w:val="Char Char1 Char Char Char Char Char Char Char Char Char Char"/>
    <w:basedOn w:val="1"/>
    <w:qFormat/>
    <w:uiPriority w:val="0"/>
    <w:rPr>
      <w:rFonts w:ascii="Tahoma" w:hAnsi="Tahoma"/>
      <w:sz w:val="24"/>
    </w:rPr>
  </w:style>
  <w:style w:type="paragraph" w:customStyle="1" w:styleId="118">
    <w:name w:val="列出段落2"/>
    <w:basedOn w:val="1"/>
    <w:qFormat/>
    <w:uiPriority w:val="0"/>
    <w:pPr>
      <w:ind w:firstLine="420" w:firstLineChars="200"/>
    </w:pPr>
    <w:rPr>
      <w:rFonts w:ascii="Calibri" w:hAnsi="Calibri"/>
      <w:szCs w:val="22"/>
    </w:rPr>
  </w:style>
  <w:style w:type="paragraph" w:customStyle="1" w:styleId="119">
    <w:name w:val="图片"/>
    <w:basedOn w:val="1"/>
    <w:qFormat/>
    <w:uiPriority w:val="0"/>
    <w:pPr>
      <w:widowControl/>
      <w:jc w:val="center"/>
    </w:pPr>
    <w:rPr>
      <w:rFonts w:ascii="Arial" w:hAnsi="Arial" w:eastAsia="宋体"/>
      <w:kern w:val="0"/>
      <w:sz w:val="24"/>
    </w:rPr>
  </w:style>
  <w:style w:type="character" w:customStyle="1" w:styleId="120">
    <w:name w:val="fontstyle01"/>
    <w:qFormat/>
    <w:uiPriority w:val="0"/>
    <w:rPr>
      <w:rFonts w:hint="eastAsia" w:ascii="仿宋" w:hAnsi="仿宋" w:eastAsia="仿宋"/>
      <w:color w:val="000000"/>
      <w:sz w:val="28"/>
      <w:szCs w:val="28"/>
    </w:rPr>
  </w:style>
  <w:style w:type="character" w:customStyle="1" w:styleId="121">
    <w:name w:val="样式 楷体_GB2312 小四"/>
    <w:qFormat/>
    <w:uiPriority w:val="0"/>
    <w:rPr>
      <w:rFonts w:ascii="楷体_GB2312" w:hAnsi="楷体_GB2312" w:eastAsia="仿宋_GB2312"/>
      <w:sz w:val="24"/>
    </w:rPr>
  </w:style>
  <w:style w:type="paragraph" w:customStyle="1" w:styleId="122">
    <w:name w:val="首行缩进"/>
    <w:basedOn w:val="1"/>
    <w:qFormat/>
    <w:uiPriority w:val="0"/>
    <w:pPr>
      <w:ind w:firstLine="480" w:firstLineChars="200"/>
    </w:pPr>
    <w:rPr>
      <w:rFonts w:eastAsia="宋体"/>
      <w:sz w:val="21"/>
      <w:szCs w:val="24"/>
      <w:lang w:val="zh-CN"/>
    </w:rPr>
  </w:style>
  <w:style w:type="paragraph" w:customStyle="1" w:styleId="123">
    <w:name w:val="！正文"/>
    <w:basedOn w:val="1"/>
    <w:uiPriority w:val="0"/>
    <w:pPr>
      <w:spacing w:line="360" w:lineRule="auto"/>
      <w:ind w:firstLine="480" w:firstLineChars="200"/>
    </w:pPr>
    <w:rPr>
      <w:rFonts w:eastAsia="宋体" w:cs="宋体"/>
      <w:sz w:val="24"/>
    </w:rPr>
  </w:style>
  <w:style w:type="paragraph" w:customStyle="1" w:styleId="124">
    <w:name w:val="_Style 2"/>
    <w:basedOn w:val="1"/>
    <w:qFormat/>
    <w:uiPriority w:val="0"/>
    <w:pPr>
      <w:ind w:firstLine="420" w:firstLineChars="200"/>
    </w:pPr>
    <w:rPr>
      <w:rFonts w:eastAsia="宋体"/>
      <w:sz w:val="21"/>
      <w:szCs w:val="24"/>
    </w:rPr>
  </w:style>
  <w:style w:type="character" w:customStyle="1" w:styleId="125">
    <w:name w:val="二级条标题 Char Char"/>
    <w:link w:val="126"/>
    <w:uiPriority w:val="0"/>
    <w:rPr>
      <w:rFonts w:eastAsia="黑体"/>
      <w:sz w:val="21"/>
    </w:rPr>
  </w:style>
  <w:style w:type="paragraph" w:customStyle="1" w:styleId="126">
    <w:name w:val="二级条标题"/>
    <w:basedOn w:val="1"/>
    <w:next w:val="1"/>
    <w:link w:val="125"/>
    <w:uiPriority w:val="0"/>
    <w:pPr>
      <w:widowControl/>
      <w:jc w:val="left"/>
      <w:outlineLvl w:val="3"/>
    </w:pPr>
    <w:rPr>
      <w:rFonts w:eastAsia="黑体"/>
      <w:kern w:val="0"/>
      <w:sz w:val="21"/>
    </w:rPr>
  </w:style>
  <w:style w:type="paragraph" w:customStyle="1" w:styleId="127">
    <w:name w:val="表格文字"/>
    <w:basedOn w:val="1"/>
    <w:qFormat/>
    <w:uiPriority w:val="0"/>
    <w:pPr>
      <w:widowControl/>
      <w:adjustRightInd w:val="0"/>
      <w:snapToGrid w:val="0"/>
      <w:spacing w:after="200" w:line="300" w:lineRule="auto"/>
      <w:jc w:val="left"/>
    </w:pPr>
    <w:rPr>
      <w:rFonts w:hint="eastAsia" w:ascii="宋体" w:hAnsi="Tahoma" w:eastAsia="微软雅黑"/>
      <w:spacing w:val="10"/>
      <w:kern w:val="0"/>
      <w:sz w:val="24"/>
    </w:rPr>
  </w:style>
  <w:style w:type="paragraph" w:customStyle="1" w:styleId="128">
    <w:name w:val="Table Paragraph"/>
    <w:basedOn w:val="1"/>
    <w:qFormat/>
    <w:uiPriority w:val="1"/>
    <w:pPr>
      <w:autoSpaceDE w:val="0"/>
      <w:autoSpaceDN w:val="0"/>
      <w:adjustRightInd w:val="0"/>
      <w:jc w:val="left"/>
    </w:pPr>
    <w:rPr>
      <w:rFonts w:ascii="宋体" w:eastAsia="宋体"/>
      <w:kern w:val="0"/>
      <w:sz w:val="24"/>
      <w:szCs w:val="24"/>
    </w:rPr>
  </w:style>
  <w:style w:type="paragraph" w:customStyle="1" w:styleId="129">
    <w:name w:val="正文_0905"/>
    <w:basedOn w:val="1"/>
    <w:link w:val="130"/>
    <w:qFormat/>
    <w:uiPriority w:val="0"/>
    <w:pPr>
      <w:spacing w:line="500" w:lineRule="exact"/>
      <w:ind w:firstLine="480" w:firstLineChars="200"/>
    </w:pPr>
    <w:rPr>
      <w:rFonts w:ascii="宋体" w:hAnsi="宋体" w:eastAsia="仿宋" w:cs="宋体"/>
      <w:bCs/>
      <w:szCs w:val="24"/>
    </w:rPr>
  </w:style>
  <w:style w:type="character" w:customStyle="1" w:styleId="130">
    <w:name w:val="正文_0905 字符"/>
    <w:basedOn w:val="45"/>
    <w:link w:val="129"/>
    <w:qFormat/>
    <w:uiPriority w:val="0"/>
    <w:rPr>
      <w:rFonts w:ascii="宋体" w:hAnsi="宋体" w:eastAsia="仿宋" w:cs="宋体"/>
      <w:bCs/>
      <w:kern w:val="2"/>
      <w:sz w:val="30"/>
      <w:szCs w:val="24"/>
    </w:rPr>
  </w:style>
  <w:style w:type="table" w:customStyle="1" w:styleId="13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32">
    <w:name w:val="标题 11"/>
    <w:basedOn w:val="1"/>
    <w:qFormat/>
    <w:uiPriority w:val="1"/>
    <w:pPr>
      <w:autoSpaceDE w:val="0"/>
      <w:autoSpaceDN w:val="0"/>
      <w:ind w:left="1081"/>
      <w:jc w:val="center"/>
      <w:outlineLvl w:val="1"/>
    </w:pPr>
    <w:rPr>
      <w:rFonts w:ascii="宋体" w:hAnsi="宋体" w:eastAsia="宋体" w:cs="宋体"/>
      <w:kern w:val="0"/>
      <w:sz w:val="38"/>
      <w:szCs w:val="38"/>
      <w:lang w:eastAsia="en-US"/>
    </w:rPr>
  </w:style>
  <w:style w:type="paragraph" w:customStyle="1" w:styleId="133">
    <w:name w:val="标题 21"/>
    <w:basedOn w:val="1"/>
    <w:qFormat/>
    <w:uiPriority w:val="1"/>
    <w:pPr>
      <w:autoSpaceDE w:val="0"/>
      <w:autoSpaceDN w:val="0"/>
      <w:spacing w:before="143"/>
      <w:ind w:left="1087"/>
      <w:jc w:val="center"/>
      <w:outlineLvl w:val="2"/>
    </w:pPr>
    <w:rPr>
      <w:rFonts w:ascii="宋体" w:hAnsi="宋体" w:eastAsia="宋体" w:cs="宋体"/>
      <w:kern w:val="0"/>
      <w:sz w:val="28"/>
      <w:szCs w:val="28"/>
      <w:lang w:eastAsia="en-US"/>
    </w:rPr>
  </w:style>
  <w:style w:type="paragraph" w:customStyle="1" w:styleId="134">
    <w:name w:val="标题 31"/>
    <w:basedOn w:val="1"/>
    <w:qFormat/>
    <w:uiPriority w:val="1"/>
    <w:pPr>
      <w:autoSpaceDE w:val="0"/>
      <w:autoSpaceDN w:val="0"/>
      <w:ind w:left="4104" w:right="3996"/>
      <w:jc w:val="center"/>
      <w:outlineLvl w:val="3"/>
    </w:pPr>
    <w:rPr>
      <w:rFonts w:ascii="宋体" w:hAnsi="宋体" w:eastAsia="宋体" w:cs="宋体"/>
      <w:kern w:val="0"/>
      <w:sz w:val="25"/>
      <w:szCs w:val="25"/>
      <w:lang w:eastAsia="en-US"/>
    </w:rPr>
  </w:style>
  <w:style w:type="paragraph" w:customStyle="1" w:styleId="135">
    <w:name w:val="标题 41"/>
    <w:basedOn w:val="1"/>
    <w:qFormat/>
    <w:uiPriority w:val="1"/>
    <w:pPr>
      <w:autoSpaceDE w:val="0"/>
      <w:autoSpaceDN w:val="0"/>
      <w:spacing w:before="27"/>
      <w:ind w:left="2386"/>
      <w:jc w:val="left"/>
      <w:outlineLvl w:val="4"/>
    </w:pPr>
    <w:rPr>
      <w:rFonts w:ascii="宋体" w:hAnsi="宋体" w:eastAsia="宋体" w:cs="宋体"/>
      <w:kern w:val="0"/>
      <w:sz w:val="22"/>
      <w:szCs w:val="22"/>
      <w:lang w:eastAsia="en-US"/>
    </w:rPr>
  </w:style>
  <w:style w:type="paragraph" w:customStyle="1" w:styleId="136">
    <w:name w:val="标题 51"/>
    <w:basedOn w:val="1"/>
    <w:qFormat/>
    <w:uiPriority w:val="1"/>
    <w:pPr>
      <w:autoSpaceDE w:val="0"/>
      <w:autoSpaceDN w:val="0"/>
      <w:ind w:left="106"/>
      <w:jc w:val="left"/>
      <w:outlineLvl w:val="5"/>
    </w:pPr>
    <w:rPr>
      <w:rFonts w:ascii="宋体" w:hAnsi="宋体" w:eastAsia="宋体" w:cs="宋体"/>
      <w:kern w:val="0"/>
      <w:sz w:val="21"/>
      <w:szCs w:val="21"/>
      <w:lang w:eastAsia="en-US"/>
    </w:rPr>
  </w:style>
  <w:style w:type="character" w:customStyle="1" w:styleId="137">
    <w:name w:val="副标题 Char"/>
    <w:basedOn w:val="45"/>
    <w:link w:val="32"/>
    <w:qFormat/>
    <w:uiPriority w:val="0"/>
    <w:rPr>
      <w:rFonts w:ascii="Cambria" w:hAnsi="Cambria" w:eastAsiaTheme="minorEastAsia" w:cstheme="majorBidi"/>
      <w:b/>
      <w:bCs/>
      <w:kern w:val="28"/>
      <w:sz w:val="32"/>
      <w:szCs w:val="32"/>
    </w:rPr>
  </w:style>
  <w:style w:type="character" w:customStyle="1" w:styleId="138">
    <w:name w:val="列出段落 Char"/>
    <w:link w:val="106"/>
    <w:qFormat/>
    <w:uiPriority w:val="0"/>
    <w:rPr>
      <w:rFonts w:ascii="Calibri" w:hAnsi="Calibri"/>
      <w:kern w:val="2"/>
      <w:sz w:val="21"/>
      <w:szCs w:val="22"/>
    </w:rPr>
  </w:style>
  <w:style w:type="character" w:customStyle="1" w:styleId="139">
    <w:name w:val="Book Title"/>
    <w:basedOn w:val="45"/>
    <w:qFormat/>
    <w:uiPriority w:val="33"/>
    <w:rPr>
      <w:b/>
      <w:bCs/>
      <w:smallCaps/>
      <w:spacing w:val="5"/>
    </w:rPr>
  </w:style>
  <w:style w:type="paragraph" w:customStyle="1" w:styleId="140">
    <w:name w:val="USE 1"/>
    <w:basedOn w:val="1"/>
    <w:qFormat/>
    <w:uiPriority w:val="0"/>
    <w:pPr>
      <w:spacing w:line="200" w:lineRule="atLeast"/>
      <w:jc w:val="left"/>
    </w:pPr>
    <w:rPr>
      <w:rFonts w:ascii="宋体" w:hAnsi="宋体" w:eastAsia="宋体" w:cstheme="minorBidi"/>
      <w:b/>
      <w:sz w:val="24"/>
    </w:rPr>
  </w:style>
  <w:style w:type="paragraph" w:customStyle="1" w:styleId="141">
    <w:name w:val="列出段落11"/>
    <w:basedOn w:val="1"/>
    <w:qFormat/>
    <w:uiPriority w:val="0"/>
    <w:pPr>
      <w:ind w:firstLine="420" w:firstLineChars="200"/>
    </w:pPr>
    <w:rPr>
      <w:rFonts w:ascii="Calibri" w:hAnsi="Calibri" w:eastAsia="宋体" w:cstheme="minorBidi"/>
      <w:sz w:val="21"/>
      <w:szCs w:val="22"/>
    </w:rPr>
  </w:style>
  <w:style w:type="paragraph" w:customStyle="1" w:styleId="142">
    <w:name w:val="样式1"/>
    <w:basedOn w:val="3"/>
    <w:qFormat/>
    <w:uiPriority w:val="0"/>
    <w:pPr>
      <w:widowControl/>
      <w:numPr>
        <w:ilvl w:val="0"/>
        <w:numId w:val="2"/>
      </w:numPr>
      <w:autoSpaceDE/>
      <w:autoSpaceDN/>
      <w:snapToGrid w:val="0"/>
      <w:spacing w:before="0" w:after="0" w:line="360" w:lineRule="auto"/>
      <w:jc w:val="center"/>
      <w:textAlignment w:val="auto"/>
    </w:pPr>
    <w:rPr>
      <w:rFonts w:ascii="宋体" w:eastAsia="宋体" w:cstheme="majorBidi"/>
      <w:sz w:val="28"/>
    </w:rPr>
  </w:style>
  <w:style w:type="paragraph" w:customStyle="1" w:styleId="143">
    <w:name w:val="协议副标题"/>
    <w:basedOn w:val="32"/>
    <w:link w:val="144"/>
    <w:qFormat/>
    <w:uiPriority w:val="0"/>
    <w:rPr>
      <w:rFonts w:ascii="微软雅黑" w:hAnsi="微软雅黑" w:eastAsia="微软雅黑" w:cstheme="minorBidi"/>
      <w:b w:val="0"/>
      <w:sz w:val="18"/>
      <w:szCs w:val="24"/>
    </w:rPr>
  </w:style>
  <w:style w:type="character" w:customStyle="1" w:styleId="144">
    <w:name w:val="协议副标题 Char"/>
    <w:link w:val="143"/>
    <w:qFormat/>
    <w:uiPriority w:val="0"/>
    <w:rPr>
      <w:rFonts w:ascii="微软雅黑" w:hAnsi="微软雅黑" w:eastAsia="微软雅黑" w:cstheme="minorBidi"/>
      <w:bCs/>
      <w:kern w:val="28"/>
      <w:sz w:val="18"/>
      <w:szCs w:val="24"/>
    </w:rPr>
  </w:style>
  <w:style w:type="paragraph" w:customStyle="1" w:styleId="145">
    <w:name w:val="正文首行缩进 21"/>
    <w:basedOn w:val="1"/>
    <w:qFormat/>
    <w:uiPriority w:val="0"/>
    <w:pPr>
      <w:snapToGrid w:val="0"/>
      <w:spacing w:after="120" w:line="360" w:lineRule="auto"/>
      <w:ind w:left="420" w:firstLine="420" w:firstLineChars="200"/>
    </w:pPr>
    <w:rPr>
      <w:rFonts w:ascii="Tahoma" w:hAnsi="Tahoma" w:eastAsia="宋体" w:cstheme="minorBidi"/>
      <w:sz w:val="28"/>
      <w:szCs w:val="24"/>
    </w:rPr>
  </w:style>
  <w:style w:type="paragraph" w:customStyle="1" w:styleId="146">
    <w:name w:val="图"/>
    <w:basedOn w:val="1"/>
    <w:qFormat/>
    <w:uiPriority w:val="0"/>
    <w:pPr>
      <w:keepNext/>
      <w:adjustRightInd w:val="0"/>
      <w:spacing w:before="60" w:after="60" w:line="300" w:lineRule="auto"/>
      <w:jc w:val="center"/>
      <w:textAlignment w:val="center"/>
    </w:pPr>
    <w:rPr>
      <w:rFonts w:eastAsia="宋体" w:cstheme="minorBidi"/>
      <w:snapToGrid w:val="0"/>
      <w:spacing w:val="20"/>
      <w:kern w:val="0"/>
      <w:sz w:val="24"/>
    </w:rPr>
  </w:style>
  <w:style w:type="character" w:customStyle="1" w:styleId="147">
    <w:name w:val="列出段落 Char2"/>
    <w:qFormat/>
    <w:uiPriority w:val="0"/>
    <w:rPr>
      <w:sz w:val="24"/>
      <w:szCs w:val="24"/>
    </w:rPr>
  </w:style>
  <w:style w:type="character" w:customStyle="1" w:styleId="148">
    <w:name w:val="正文首行缩进 2 Char"/>
    <w:basedOn w:val="63"/>
    <w:link w:val="42"/>
    <w:qFormat/>
    <w:uiPriority w:val="0"/>
    <w:rPr>
      <w:kern w:val="2"/>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8"/>
    <customShpInfo spid="_x0000_s3074"/>
    <customShpInfo spid="_x0000_s3079"/>
    <customShpInfo spid="_x0000_s3080"/>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24727-9511-47EB-9FD6-56B5988D9CEA}">
  <ds:schemaRefs/>
</ds:datastoreItem>
</file>

<file path=docProps/app.xml><?xml version="1.0" encoding="utf-8"?>
<Properties xmlns="http://schemas.openxmlformats.org/officeDocument/2006/extended-properties" xmlns:vt="http://schemas.openxmlformats.org/officeDocument/2006/docPropsVTypes">
  <Template>Normal</Template>
  <Pages>71</Pages>
  <Words>34464</Words>
  <Characters>35836</Characters>
  <Lines>291</Lines>
  <Paragraphs>81</Paragraphs>
  <TotalTime>1</TotalTime>
  <ScaleCrop>false</ScaleCrop>
  <LinksUpToDate>false</LinksUpToDate>
  <CharactersWithSpaces>38370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2021-03-15T03:18:00Z</dcterms:created>
  <dc:creator>admin</dc:creator>
  <dc:description>深圳市三方诚信招标有限公司</dc:description>
  <cp:lastModifiedBy>招投标</cp:lastModifiedBy>
  <cp:lastPrinted>2021-07-16T08:43:00Z</cp:lastPrinted>
  <dcterms:modified xsi:type="dcterms:W3CDTF">2022-11-04T06:42:14Z</dcterms:modified>
  <dc:title>目    录</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346CC069917E46F2BD97049155193ABA</vt:lpwstr>
  </property>
</Properties>
</file>